
<file path=[Content_Types].xml><?xml version="1.0" encoding="utf-8"?>
<Types xmlns="http://schemas.openxmlformats.org/package/2006/content-types">
  <Default Extension="jfif"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C781C" w:rsidRDefault="008F7158">
      <w:pPr>
        <w:pStyle w:val="Titre"/>
        <w:pBdr>
          <w:bottom w:val="single" w:sz="12" w:space="9" w:color="B2A1C7"/>
        </w:pBdr>
        <w:spacing w:before="0" w:after="0"/>
        <w:rPr>
          <w:rFonts w:ascii="Cambria" w:eastAsia="Cambria" w:hAnsi="Cambria" w:cs="Cambria"/>
          <w:b/>
        </w:rPr>
      </w:pPr>
      <w:r>
        <w:rPr>
          <w:rFonts w:ascii="Cambria" w:eastAsia="Cambria" w:hAnsi="Cambria" w:cs="Cambria"/>
          <w:b/>
        </w:rPr>
        <w:t>Financements européens pertinents pour la transition écologique et énergétique dans le Grand Est</w:t>
      </w:r>
    </w:p>
    <w:p w14:paraId="00000002" w14:textId="65F894CD" w:rsidR="00CC781C" w:rsidRDefault="009252F7">
      <w:pPr>
        <w:spacing w:before="240"/>
        <w:jc w:val="center"/>
        <w:rPr>
          <w:rFonts w:ascii="Cambria" w:eastAsia="Cambria" w:hAnsi="Cambria" w:cs="Cambria"/>
          <w:b/>
          <w:smallCaps/>
          <w:color w:val="403152"/>
          <w:sz w:val="40"/>
          <w:szCs w:val="40"/>
        </w:rPr>
      </w:pPr>
      <w:sdt>
        <w:sdtPr>
          <w:tag w:val="goog_rdk_0"/>
          <w:id w:val="-826363511"/>
        </w:sdtPr>
        <w:sdtEndPr/>
        <w:sdtContent/>
      </w:sdt>
      <w:r w:rsidR="00620CF4">
        <w:rPr>
          <w:rFonts w:ascii="Cambria" w:eastAsia="Cambria" w:hAnsi="Cambria" w:cs="Cambria"/>
          <w:b/>
          <w:smallCaps/>
          <w:color w:val="403152"/>
          <w:sz w:val="40"/>
          <w:szCs w:val="40"/>
        </w:rPr>
        <w:t xml:space="preserve">Horizon Europe </w:t>
      </w:r>
      <w:r w:rsidR="00805ABA">
        <w:rPr>
          <w:rFonts w:ascii="Cambria" w:eastAsia="Cambria" w:hAnsi="Cambria" w:cs="Cambria"/>
          <w:b/>
          <w:smallCaps/>
          <w:color w:val="403152"/>
          <w:sz w:val="40"/>
          <w:szCs w:val="40"/>
        </w:rPr>
        <w:t xml:space="preserve">– </w:t>
      </w:r>
      <w:r w:rsidR="00777D46">
        <w:rPr>
          <w:rFonts w:ascii="Cambria" w:eastAsia="Cambria" w:hAnsi="Cambria" w:cs="Cambria"/>
          <w:b/>
          <w:smallCaps/>
          <w:color w:val="403152"/>
          <w:sz w:val="40"/>
          <w:szCs w:val="40"/>
        </w:rPr>
        <w:t>Pilier III</w:t>
      </w:r>
    </w:p>
    <w:p w14:paraId="78F22A36" w14:textId="0FF97DA1" w:rsidR="00620CF4" w:rsidRDefault="00620CF4">
      <w:pPr>
        <w:spacing w:before="240"/>
        <w:jc w:val="center"/>
        <w:rPr>
          <w:rFonts w:ascii="Cambria" w:eastAsia="Cambria" w:hAnsi="Cambria" w:cs="Cambria"/>
          <w:b/>
          <w:smallCaps/>
          <w:color w:val="403152"/>
          <w:sz w:val="40"/>
          <w:szCs w:val="40"/>
        </w:rPr>
      </w:pPr>
      <w:r>
        <w:rPr>
          <w:rFonts w:ascii="Cambria" w:eastAsia="Cambria" w:hAnsi="Cambria" w:cs="Cambria"/>
          <w:b/>
          <w:smallCaps/>
          <w:noProof/>
          <w:color w:val="403152"/>
          <w:sz w:val="40"/>
          <w:szCs w:val="40"/>
        </w:rPr>
        <w:drawing>
          <wp:inline distT="0" distB="0" distL="0" distR="0" wp14:anchorId="7155438E" wp14:editId="31F3143E">
            <wp:extent cx="1485900" cy="2072439"/>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9">
                      <a:extLst>
                        <a:ext uri="{28A0092B-C50C-407E-A947-70E740481C1C}">
                          <a14:useLocalDpi xmlns:a14="http://schemas.microsoft.com/office/drawing/2010/main" val="0"/>
                        </a:ext>
                      </a:extLst>
                    </a:blip>
                    <a:stretch>
                      <a:fillRect/>
                    </a:stretch>
                  </pic:blipFill>
                  <pic:spPr>
                    <a:xfrm>
                      <a:off x="0" y="0"/>
                      <a:ext cx="1487691" cy="2074937"/>
                    </a:xfrm>
                    <a:prstGeom prst="rect">
                      <a:avLst/>
                    </a:prstGeom>
                  </pic:spPr>
                </pic:pic>
              </a:graphicData>
            </a:graphic>
          </wp:inline>
        </w:drawing>
      </w:r>
    </w:p>
    <w:p w14:paraId="2B2433B1" w14:textId="6F003945" w:rsidR="00932D39" w:rsidRDefault="00932D39">
      <w:pPr>
        <w:pBdr>
          <w:top w:val="nil"/>
          <w:left w:val="nil"/>
          <w:bottom w:val="nil"/>
          <w:right w:val="nil"/>
          <w:between w:val="nil"/>
        </w:pBdr>
      </w:pPr>
    </w:p>
    <w:p w14:paraId="2DFE4658" w14:textId="77777777" w:rsidR="00B80913" w:rsidRDefault="00B80913" w:rsidP="00143F20">
      <w:pPr>
        <w:pStyle w:val="EnvTitreparagraphe"/>
        <w:numPr>
          <w:ilvl w:val="0"/>
          <w:numId w:val="0"/>
        </w:numPr>
        <w:spacing w:before="0"/>
        <w:rPr>
          <w:sz w:val="24"/>
          <w:szCs w:val="24"/>
        </w:rPr>
      </w:pPr>
    </w:p>
    <w:p w14:paraId="4DB9818F" w14:textId="77777777" w:rsidR="00233867" w:rsidRDefault="00C47BF3" w:rsidP="00C47BF3">
      <w:pPr>
        <w:pBdr>
          <w:top w:val="nil"/>
          <w:left w:val="nil"/>
          <w:bottom w:val="nil"/>
          <w:right w:val="nil"/>
          <w:between w:val="nil"/>
        </w:pBdr>
        <w:jc w:val="both"/>
      </w:pPr>
      <w:r>
        <w:t>Le programme Horizon Europe a pour but de financer la recherche et le développement de l’innovation pour l’Union européenne. Contrairement à certaines idées reçues il ne vise pas uniquement au financement de la recherche fondamentale (recherche en laboratoire, qui est prise en charge par le premier pilier du programme) mais bien toute sorte de recherche</w:t>
      </w:r>
      <w:r w:rsidR="00650ACD">
        <w:t>s</w:t>
      </w:r>
      <w:r>
        <w:t>, test</w:t>
      </w:r>
      <w:r w:rsidR="00650ACD">
        <w:t>s</w:t>
      </w:r>
      <w:r>
        <w:t>, démonstration</w:t>
      </w:r>
      <w:r w:rsidR="00650ACD">
        <w:t>s</w:t>
      </w:r>
      <w:r>
        <w:t xml:space="preserve">. </w:t>
      </w:r>
    </w:p>
    <w:p w14:paraId="48B877C9" w14:textId="77777777" w:rsidR="00233867" w:rsidRDefault="00233867" w:rsidP="00C47BF3">
      <w:pPr>
        <w:pBdr>
          <w:top w:val="nil"/>
          <w:left w:val="nil"/>
          <w:bottom w:val="nil"/>
          <w:right w:val="nil"/>
          <w:between w:val="nil"/>
        </w:pBdr>
        <w:jc w:val="both"/>
      </w:pPr>
    </w:p>
    <w:p w14:paraId="1C4DB3B8" w14:textId="77777777" w:rsidR="00233867" w:rsidRDefault="00233867" w:rsidP="00C47BF3">
      <w:pPr>
        <w:pBdr>
          <w:top w:val="nil"/>
          <w:left w:val="nil"/>
          <w:bottom w:val="nil"/>
          <w:right w:val="nil"/>
          <w:between w:val="nil"/>
        </w:pBdr>
        <w:jc w:val="both"/>
      </w:pPr>
      <w:r>
        <w:t>Ce programme est constitué de trois grands piliers :</w:t>
      </w:r>
    </w:p>
    <w:p w14:paraId="57C0F250" w14:textId="158EA0F1" w:rsidR="00233867" w:rsidRDefault="00233867" w:rsidP="009252F7">
      <w:pPr>
        <w:pStyle w:val="Paragraphedeliste"/>
        <w:numPr>
          <w:ilvl w:val="0"/>
          <w:numId w:val="9"/>
        </w:numPr>
        <w:pBdr>
          <w:top w:val="nil"/>
          <w:left w:val="nil"/>
          <w:bottom w:val="nil"/>
          <w:right w:val="nil"/>
          <w:between w:val="nil"/>
        </w:pBdr>
        <w:jc w:val="both"/>
      </w:pPr>
      <w:r>
        <w:t>Le pilier 1, qui vise à financer la recherche fondamentale, notamment via la recherche en laboratoire, le financement de bourse</w:t>
      </w:r>
      <w:r w:rsidR="006B583D">
        <w:t>s</w:t>
      </w:r>
      <w:r>
        <w:t xml:space="preserve"> et les échanges entre chercheurs.</w:t>
      </w:r>
    </w:p>
    <w:p w14:paraId="2DA11127" w14:textId="1BC10902" w:rsidR="00233867" w:rsidRDefault="00C47BF3" w:rsidP="009252F7">
      <w:pPr>
        <w:pStyle w:val="Paragraphedeliste"/>
        <w:numPr>
          <w:ilvl w:val="0"/>
          <w:numId w:val="9"/>
        </w:numPr>
        <w:pBdr>
          <w:top w:val="nil"/>
          <w:left w:val="nil"/>
          <w:bottom w:val="nil"/>
          <w:right w:val="nil"/>
          <w:between w:val="nil"/>
        </w:pBdr>
        <w:jc w:val="both"/>
      </w:pPr>
      <w:r>
        <w:t xml:space="preserve">Le pilier </w:t>
      </w:r>
      <w:r w:rsidR="00DC7225">
        <w:t>2</w:t>
      </w:r>
      <w:r>
        <w:t xml:space="preserve"> finance des projet</w:t>
      </w:r>
      <w:r w:rsidR="007A683C">
        <w:t>s</w:t>
      </w:r>
      <w:r>
        <w:t xml:space="preserve"> de </w:t>
      </w:r>
      <w:r w:rsidR="00233867">
        <w:t>re</w:t>
      </w:r>
      <w:r>
        <w:t>cherche et d’innovation appliquée,</w:t>
      </w:r>
      <w:r w:rsidR="00233867">
        <w:t xml:space="preserve"> à des niveau</w:t>
      </w:r>
      <w:r w:rsidR="00777D46">
        <w:t>x</w:t>
      </w:r>
      <w:r w:rsidR="00233867">
        <w:t xml:space="preserve"> de TRL moyens (entre 4 et 8)</w:t>
      </w:r>
      <w:r>
        <w:t xml:space="preserve"> c’est-à-dire des projets innovants testant de nouvelles solutions</w:t>
      </w:r>
      <w:r w:rsidR="00233867">
        <w:t>, technologies ou méthodes sur des « problématiques mondiales » très variées</w:t>
      </w:r>
      <w:r w:rsidR="00777D46">
        <w:t xml:space="preserve"> (cf. fiche dédiée)</w:t>
      </w:r>
    </w:p>
    <w:p w14:paraId="365A36C3" w14:textId="5D808142" w:rsidR="00C47BF3" w:rsidRDefault="00233867" w:rsidP="009252F7">
      <w:pPr>
        <w:pStyle w:val="Paragraphedeliste"/>
        <w:numPr>
          <w:ilvl w:val="0"/>
          <w:numId w:val="9"/>
        </w:numPr>
        <w:pBdr>
          <w:top w:val="nil"/>
          <w:left w:val="nil"/>
          <w:bottom w:val="nil"/>
          <w:right w:val="nil"/>
          <w:between w:val="nil"/>
        </w:pBdr>
        <w:jc w:val="both"/>
      </w:pPr>
      <w:r>
        <w:t>Le pilier 3 quant à lui vise à financer l’innovation et l’excellence industrielle, ces projets sont donc principalement portés par les entreprises, PME, start-up ou autres acteurs de l’innovation</w:t>
      </w:r>
      <w:r w:rsidR="00777D46">
        <w:t>, avec un aspect économique important.</w:t>
      </w:r>
    </w:p>
    <w:p w14:paraId="4F572C0D" w14:textId="6B1407A0" w:rsidR="002F5889" w:rsidRDefault="002F5889" w:rsidP="00C47BF3">
      <w:pPr>
        <w:pBdr>
          <w:top w:val="nil"/>
          <w:left w:val="nil"/>
          <w:bottom w:val="nil"/>
          <w:right w:val="nil"/>
          <w:between w:val="nil"/>
        </w:pBdr>
        <w:jc w:val="both"/>
      </w:pPr>
    </w:p>
    <w:p w14:paraId="044EED26" w14:textId="77777777" w:rsidR="00005466" w:rsidRDefault="00005466" w:rsidP="00C47BF3">
      <w:pPr>
        <w:pBdr>
          <w:top w:val="nil"/>
          <w:left w:val="nil"/>
          <w:bottom w:val="nil"/>
          <w:right w:val="nil"/>
          <w:between w:val="nil"/>
        </w:pBdr>
        <w:jc w:val="both"/>
      </w:pPr>
    </w:p>
    <w:p w14:paraId="42A4699E" w14:textId="3968A99F" w:rsidR="00C47BF3" w:rsidRDefault="00777D46" w:rsidP="00C47BF3">
      <w:pPr>
        <w:pBdr>
          <w:top w:val="nil"/>
          <w:left w:val="nil"/>
          <w:bottom w:val="nil"/>
          <w:right w:val="nil"/>
          <w:between w:val="nil"/>
        </w:pBdr>
        <w:jc w:val="both"/>
      </w:pPr>
      <w:r>
        <w:t>Cette fiche présentera</w:t>
      </w:r>
      <w:r w:rsidR="00005466">
        <w:t xml:space="preserve"> les grandes notions et les différents types de projets recherchés par le pilier </w:t>
      </w:r>
      <w:r w:rsidR="000D3734">
        <w:t>3</w:t>
      </w:r>
      <w:r w:rsidR="00005466">
        <w:t xml:space="preserve">. </w:t>
      </w:r>
      <w:r>
        <w:t>L</w:t>
      </w:r>
      <w:r w:rsidR="00C47BF3">
        <w:t xml:space="preserve">es acteurs impliqués </w:t>
      </w:r>
      <w:r w:rsidR="000D3734">
        <w:t>sont avant tou</w:t>
      </w:r>
      <w:r w:rsidR="006B583D">
        <w:t>t</w:t>
      </w:r>
      <w:r>
        <w:t xml:space="preserve"> ici</w:t>
      </w:r>
      <w:r w:rsidR="000D3734">
        <w:t xml:space="preserve"> </w:t>
      </w:r>
      <w:r>
        <w:t>d</w:t>
      </w:r>
      <w:r w:rsidR="000D3734">
        <w:t>es acteurs industriels, avec plusieurs instruments dédiés aux PME et start-up</w:t>
      </w:r>
      <w:r>
        <w:t>s</w:t>
      </w:r>
      <w:r w:rsidR="000D3734">
        <w:t>, mais les consortiums peuvent (voir</w:t>
      </w:r>
      <w:r w:rsidR="006B583D">
        <w:t>e</w:t>
      </w:r>
      <w:r w:rsidR="000D3734">
        <w:t xml:space="preserve"> doivent, selon les appels) également associer des acteurs de la recherche, des organismes publics (à tous les niveaux), des associations, etc.</w:t>
      </w:r>
    </w:p>
    <w:p w14:paraId="46034D28" w14:textId="53C3F757" w:rsidR="00777D46" w:rsidRDefault="00777D46">
      <w:pPr>
        <w:rPr>
          <w:rFonts w:eastAsia="Times New Roman" w:cs="Times New Roman"/>
          <w:b/>
          <w:color w:val="403152"/>
          <w:sz w:val="24"/>
          <w:szCs w:val="24"/>
        </w:rPr>
      </w:pPr>
      <w:r>
        <w:rPr>
          <w:sz w:val="24"/>
          <w:szCs w:val="24"/>
        </w:rPr>
        <w:br w:type="page"/>
      </w:r>
    </w:p>
    <w:p w14:paraId="0173EA5C" w14:textId="51701BE3" w:rsidR="00932D39" w:rsidRDefault="00932D39" w:rsidP="009252F7">
      <w:pPr>
        <w:pStyle w:val="EnvTitreparagraphe"/>
        <w:numPr>
          <w:ilvl w:val="0"/>
          <w:numId w:val="5"/>
        </w:numPr>
        <w:spacing w:before="0"/>
        <w:rPr>
          <w:sz w:val="24"/>
          <w:szCs w:val="24"/>
        </w:rPr>
      </w:pPr>
      <w:r>
        <w:rPr>
          <w:sz w:val="24"/>
          <w:szCs w:val="24"/>
        </w:rPr>
        <w:lastRenderedPageBreak/>
        <w:t>Domaines stratégiques pour le Grand Est touchés par le programme</w:t>
      </w:r>
    </w:p>
    <w:p w14:paraId="54EAC774" w14:textId="429B9A98" w:rsidR="00B23F50" w:rsidRDefault="00B23F50" w:rsidP="00B23F50">
      <w:pPr>
        <w:pStyle w:val="EnvTitreparagraphe"/>
        <w:numPr>
          <w:ilvl w:val="0"/>
          <w:numId w:val="0"/>
        </w:numPr>
        <w:spacing w:before="0" w:after="0"/>
        <w:rPr>
          <w:rFonts w:eastAsia="Calibri" w:cs="Calibri"/>
          <w:b w:val="0"/>
          <w:color w:val="auto"/>
        </w:rPr>
      </w:pPr>
      <w:r>
        <w:rPr>
          <w:rFonts w:eastAsia="Calibri" w:cs="Calibri"/>
          <w:b w:val="0"/>
          <w:color w:val="auto"/>
        </w:rPr>
        <w:t>Le pilier III du programme Horizon Europe n’est pas un instrument de financement dédié à un ou plusieurs domaines en particulier (comme l’énergie ou la mobilité), mais dédié à un type de projets, en l’occurrence les projets hautement innovants, et ce dans tous les domaines possibles. Il peut ainsi contribuer aux objectifs de la transition sur le territoire du Grand Est pour un grand nombre de domaines, et même s’il s’adresse en premier lieu aux entreprises, il ne doit pas être compris comme un instrument qui ne contribuerait qu’à la décarbonation des entreprises. Les domaines couverts peuvent ainsi être :</w:t>
      </w:r>
    </w:p>
    <w:p w14:paraId="64219441" w14:textId="361D3F0E" w:rsidR="00B23F50" w:rsidRDefault="00B23F50" w:rsidP="009252F7">
      <w:pPr>
        <w:pStyle w:val="EnvTitreparagraphe"/>
        <w:numPr>
          <w:ilvl w:val="0"/>
          <w:numId w:val="19"/>
        </w:numPr>
        <w:spacing w:before="0" w:after="0"/>
        <w:rPr>
          <w:rFonts w:eastAsia="Calibri" w:cs="Calibri"/>
          <w:b w:val="0"/>
          <w:color w:val="auto"/>
        </w:rPr>
      </w:pPr>
      <w:r>
        <w:rPr>
          <w:rFonts w:eastAsia="Calibri" w:cs="Calibri"/>
          <w:b w:val="0"/>
          <w:color w:val="auto"/>
        </w:rPr>
        <w:t>Les bâtiments,</w:t>
      </w:r>
    </w:p>
    <w:p w14:paraId="07AAE1B5" w14:textId="6E7E3606" w:rsidR="00B23F50" w:rsidRDefault="00B23F50" w:rsidP="009252F7">
      <w:pPr>
        <w:pStyle w:val="EnvTitreparagraphe"/>
        <w:numPr>
          <w:ilvl w:val="0"/>
          <w:numId w:val="19"/>
        </w:numPr>
        <w:spacing w:before="0" w:after="0"/>
        <w:rPr>
          <w:rFonts w:eastAsia="Calibri" w:cs="Calibri"/>
          <w:b w:val="0"/>
          <w:color w:val="auto"/>
        </w:rPr>
      </w:pPr>
      <w:r>
        <w:rPr>
          <w:rFonts w:eastAsia="Calibri" w:cs="Calibri"/>
          <w:b w:val="0"/>
          <w:color w:val="auto"/>
        </w:rPr>
        <w:t>Les énergies renouvelables et de récupération,</w:t>
      </w:r>
    </w:p>
    <w:p w14:paraId="6486549B" w14:textId="4973C81A" w:rsidR="00B23F50" w:rsidRDefault="00B23F50" w:rsidP="009252F7">
      <w:pPr>
        <w:pStyle w:val="EnvTitreparagraphe"/>
        <w:numPr>
          <w:ilvl w:val="0"/>
          <w:numId w:val="19"/>
        </w:numPr>
        <w:spacing w:before="0" w:after="0"/>
        <w:rPr>
          <w:rFonts w:eastAsia="Calibri" w:cs="Calibri"/>
          <w:b w:val="0"/>
          <w:color w:val="auto"/>
        </w:rPr>
      </w:pPr>
      <w:r>
        <w:rPr>
          <w:rFonts w:eastAsia="Calibri" w:cs="Calibri"/>
          <w:b w:val="0"/>
          <w:color w:val="auto"/>
        </w:rPr>
        <w:t>La mobilité,</w:t>
      </w:r>
    </w:p>
    <w:p w14:paraId="321AE621" w14:textId="6ADA06C7" w:rsidR="00B23F50" w:rsidRDefault="00B23F50" w:rsidP="009252F7">
      <w:pPr>
        <w:pStyle w:val="EnvTitreparagraphe"/>
        <w:numPr>
          <w:ilvl w:val="0"/>
          <w:numId w:val="19"/>
        </w:numPr>
        <w:spacing w:before="0" w:after="0"/>
        <w:rPr>
          <w:rFonts w:eastAsia="Calibri" w:cs="Calibri"/>
          <w:b w:val="0"/>
          <w:color w:val="auto"/>
        </w:rPr>
      </w:pPr>
      <w:r>
        <w:rPr>
          <w:rFonts w:eastAsia="Calibri" w:cs="Calibri"/>
          <w:b w:val="0"/>
          <w:color w:val="auto"/>
        </w:rPr>
        <w:t>La décarbonation des entreprises,</w:t>
      </w:r>
    </w:p>
    <w:p w14:paraId="2597C9E7" w14:textId="0188492C" w:rsidR="00B23F50" w:rsidRDefault="00B23F50" w:rsidP="009252F7">
      <w:pPr>
        <w:pStyle w:val="EnvTitreparagraphe"/>
        <w:numPr>
          <w:ilvl w:val="0"/>
          <w:numId w:val="19"/>
        </w:numPr>
        <w:spacing w:before="0" w:after="0"/>
        <w:rPr>
          <w:rFonts w:eastAsia="Calibri" w:cs="Calibri"/>
          <w:b w:val="0"/>
          <w:color w:val="auto"/>
        </w:rPr>
      </w:pPr>
      <w:r>
        <w:rPr>
          <w:rFonts w:eastAsia="Calibri" w:cs="Calibri"/>
          <w:b w:val="0"/>
          <w:color w:val="auto"/>
        </w:rPr>
        <w:t>Les sols et friches (par exemple pour le développement de techniques innovantes pour la dépollution des sols),</w:t>
      </w:r>
    </w:p>
    <w:p w14:paraId="17193627" w14:textId="78A2FABF" w:rsidR="00B23F50" w:rsidRDefault="00B23F50" w:rsidP="009252F7">
      <w:pPr>
        <w:pStyle w:val="EnvTitreparagraphe"/>
        <w:numPr>
          <w:ilvl w:val="0"/>
          <w:numId w:val="19"/>
        </w:numPr>
        <w:spacing w:before="0" w:after="0"/>
        <w:rPr>
          <w:rFonts w:eastAsia="Calibri" w:cs="Calibri"/>
          <w:b w:val="0"/>
          <w:color w:val="auto"/>
        </w:rPr>
      </w:pPr>
      <w:r>
        <w:rPr>
          <w:rFonts w:eastAsia="Calibri" w:cs="Calibri"/>
          <w:b w:val="0"/>
          <w:color w:val="auto"/>
        </w:rPr>
        <w:t>L’adaptation au changement climatique,</w:t>
      </w:r>
    </w:p>
    <w:p w14:paraId="4BDD1239" w14:textId="044412F0" w:rsidR="00B23F50" w:rsidRDefault="00B23F50" w:rsidP="009252F7">
      <w:pPr>
        <w:pStyle w:val="EnvTitreparagraphe"/>
        <w:numPr>
          <w:ilvl w:val="0"/>
          <w:numId w:val="19"/>
        </w:numPr>
        <w:spacing w:before="0" w:after="0"/>
        <w:rPr>
          <w:rFonts w:eastAsia="Calibri" w:cs="Calibri"/>
          <w:b w:val="0"/>
          <w:color w:val="auto"/>
        </w:rPr>
      </w:pPr>
      <w:r>
        <w:rPr>
          <w:rFonts w:eastAsia="Calibri" w:cs="Calibri"/>
          <w:b w:val="0"/>
          <w:color w:val="auto"/>
        </w:rPr>
        <w:t xml:space="preserve">La qualité de l’air, </w:t>
      </w:r>
    </w:p>
    <w:p w14:paraId="54F78159" w14:textId="4C6804B2" w:rsidR="00B23F50" w:rsidRDefault="00B23F50" w:rsidP="009252F7">
      <w:pPr>
        <w:pStyle w:val="EnvTitreparagraphe"/>
        <w:numPr>
          <w:ilvl w:val="0"/>
          <w:numId w:val="19"/>
        </w:numPr>
        <w:spacing w:before="0" w:after="0"/>
        <w:rPr>
          <w:rFonts w:eastAsia="Calibri" w:cs="Calibri"/>
          <w:b w:val="0"/>
          <w:color w:val="auto"/>
        </w:rPr>
      </w:pPr>
      <w:r>
        <w:rPr>
          <w:rFonts w:eastAsia="Calibri" w:cs="Calibri"/>
          <w:b w:val="0"/>
          <w:color w:val="auto"/>
        </w:rPr>
        <w:t>L’agriculture et les forêts,</w:t>
      </w:r>
    </w:p>
    <w:p w14:paraId="204DB133" w14:textId="44977A54" w:rsidR="00B23F50" w:rsidRDefault="00B23F50" w:rsidP="009252F7">
      <w:pPr>
        <w:pStyle w:val="EnvTitreparagraphe"/>
        <w:numPr>
          <w:ilvl w:val="0"/>
          <w:numId w:val="19"/>
        </w:numPr>
        <w:spacing w:before="0" w:after="0"/>
        <w:rPr>
          <w:rFonts w:eastAsia="Calibri" w:cs="Calibri"/>
          <w:b w:val="0"/>
          <w:color w:val="auto"/>
        </w:rPr>
      </w:pPr>
      <w:r>
        <w:rPr>
          <w:rFonts w:eastAsia="Calibri" w:cs="Calibri"/>
          <w:b w:val="0"/>
          <w:color w:val="auto"/>
        </w:rPr>
        <w:t>L’eau,</w:t>
      </w:r>
    </w:p>
    <w:p w14:paraId="43E2F4FE" w14:textId="127A6531" w:rsidR="00B23F50" w:rsidRDefault="00B23F50" w:rsidP="009252F7">
      <w:pPr>
        <w:pStyle w:val="EnvTitreparagraphe"/>
        <w:numPr>
          <w:ilvl w:val="0"/>
          <w:numId w:val="19"/>
        </w:numPr>
        <w:spacing w:before="0" w:after="0"/>
        <w:rPr>
          <w:rFonts w:eastAsia="Calibri" w:cs="Calibri"/>
          <w:b w:val="0"/>
          <w:color w:val="auto"/>
        </w:rPr>
      </w:pPr>
      <w:r>
        <w:rPr>
          <w:rFonts w:eastAsia="Calibri" w:cs="Calibri"/>
          <w:b w:val="0"/>
          <w:color w:val="auto"/>
        </w:rPr>
        <w:t>La biodiversité (par exemple pour le développement de nouvelles techniques qui faciliteraient la réalisation d’inventaires et de diagnostics préalable),</w:t>
      </w:r>
    </w:p>
    <w:p w14:paraId="7C88D347" w14:textId="597FEA55" w:rsidR="00B23F50" w:rsidRDefault="00B23F50" w:rsidP="00B23F50">
      <w:pPr>
        <w:pStyle w:val="EnvTitreparagraphe"/>
        <w:numPr>
          <w:ilvl w:val="0"/>
          <w:numId w:val="0"/>
        </w:numPr>
        <w:spacing w:before="0" w:after="0"/>
        <w:ind w:left="360" w:hanging="360"/>
        <w:rPr>
          <w:rFonts w:eastAsia="Calibri" w:cs="Calibri"/>
          <w:b w:val="0"/>
          <w:color w:val="auto"/>
        </w:rPr>
      </w:pPr>
      <w:r>
        <w:rPr>
          <w:rFonts w:eastAsia="Calibri" w:cs="Calibri"/>
          <w:b w:val="0"/>
          <w:color w:val="auto"/>
        </w:rPr>
        <w:t>Dès lors que ces projets répondent aux critères du programme en termes de niveau d’innovation.</w:t>
      </w:r>
    </w:p>
    <w:p w14:paraId="0F96FB01" w14:textId="77777777" w:rsidR="00B23F50" w:rsidRDefault="00B23F50" w:rsidP="00B23F50">
      <w:pPr>
        <w:pStyle w:val="EnvTitreparagraphe"/>
        <w:numPr>
          <w:ilvl w:val="0"/>
          <w:numId w:val="0"/>
        </w:numPr>
        <w:spacing w:before="0" w:after="0"/>
        <w:ind w:left="360" w:hanging="360"/>
        <w:rPr>
          <w:rFonts w:eastAsia="Calibri" w:cs="Calibri"/>
          <w:b w:val="0"/>
          <w:color w:val="auto"/>
        </w:rPr>
      </w:pPr>
    </w:p>
    <w:p w14:paraId="774C5885" w14:textId="77777777" w:rsidR="00B23F50" w:rsidRPr="00B23F50" w:rsidRDefault="00B23F50" w:rsidP="00B23F50">
      <w:pPr>
        <w:pStyle w:val="EnvTitreparagraphe"/>
        <w:numPr>
          <w:ilvl w:val="0"/>
          <w:numId w:val="0"/>
        </w:numPr>
        <w:spacing w:before="0" w:after="0"/>
        <w:rPr>
          <w:rFonts w:eastAsia="Calibri" w:cs="Calibri"/>
          <w:b w:val="0"/>
          <w:color w:val="auto"/>
        </w:rPr>
      </w:pPr>
    </w:p>
    <w:p w14:paraId="14484A49" w14:textId="58EE260D" w:rsidR="00932D39" w:rsidRPr="006B583D" w:rsidRDefault="00932D39" w:rsidP="009252F7">
      <w:pPr>
        <w:pStyle w:val="EnvTitreparagraphe"/>
        <w:numPr>
          <w:ilvl w:val="0"/>
          <w:numId w:val="5"/>
        </w:numPr>
        <w:spacing w:before="0"/>
        <w:rPr>
          <w:sz w:val="24"/>
          <w:szCs w:val="24"/>
        </w:rPr>
      </w:pPr>
      <w:r w:rsidRPr="006B583D">
        <w:rPr>
          <w:sz w:val="24"/>
          <w:szCs w:val="24"/>
        </w:rPr>
        <w:t>Description du programme</w:t>
      </w:r>
    </w:p>
    <w:p w14:paraId="00000017" w14:textId="77777777" w:rsidR="00CC781C" w:rsidRDefault="009252F7">
      <w:pPr>
        <w:pStyle w:val="Titre1"/>
        <w:ind w:firstLine="360"/>
      </w:pPr>
      <w:sdt>
        <w:sdtPr>
          <w:tag w:val="goog_rdk_5"/>
          <w:id w:val="-1889330677"/>
        </w:sdtPr>
        <w:sdtEndPr/>
        <w:sdtContent/>
      </w:sdt>
      <w:r w:rsidR="008F7158">
        <w:t>Présentation générale</w:t>
      </w:r>
    </w:p>
    <w:p w14:paraId="00000018" w14:textId="77777777" w:rsidR="00CC781C" w:rsidRDefault="00CC781C"/>
    <w:p w14:paraId="1C373FDD" w14:textId="76065CF2" w:rsidR="00CB4FA0" w:rsidRPr="00CB4FA0" w:rsidRDefault="00CB4FA0">
      <w:pPr>
        <w:numPr>
          <w:ilvl w:val="0"/>
          <w:numId w:val="1"/>
        </w:numPr>
        <w:pBdr>
          <w:top w:val="nil"/>
          <w:left w:val="nil"/>
          <w:bottom w:val="nil"/>
          <w:right w:val="nil"/>
          <w:between w:val="nil"/>
        </w:pBdr>
        <w:tabs>
          <w:tab w:val="left" w:pos="1307"/>
        </w:tabs>
        <w:jc w:val="both"/>
      </w:pPr>
      <w:r w:rsidRPr="00CB4FA0">
        <w:rPr>
          <w:color w:val="000000"/>
        </w:rPr>
        <w:t>Horizon Europe est le programme-cadre de l'Union européenne pour la recherche et l'innovation</w:t>
      </w:r>
      <w:r>
        <w:rPr>
          <w:color w:val="000000"/>
        </w:rPr>
        <w:t>. Ce programme est l’un des plus étendu de la Commission européenne, et finance du projet « blanc » en laboratoire jusqu’au projet de mise sur le marché. Son but premier est le soutien à l’innovation et à la compétitivité de l’Union européenne grâce au financement de la prise de risque et des innovations technologiques ou méthodologiques. Tous les sujets peuvent donc être abordés, et les thématiques</w:t>
      </w:r>
      <w:r w:rsidR="0055332E">
        <w:rPr>
          <w:color w:val="000000"/>
        </w:rPr>
        <w:t xml:space="preserve"> </w:t>
      </w:r>
      <w:r>
        <w:rPr>
          <w:color w:val="000000"/>
        </w:rPr>
        <w:t>environnementales ont une place très importante dans ce programme.</w:t>
      </w:r>
    </w:p>
    <w:p w14:paraId="1FD4AA6A" w14:textId="1FB31B34" w:rsidR="00CB4FA0" w:rsidRPr="00746390" w:rsidRDefault="00CB4FA0" w:rsidP="00CB4FA0">
      <w:pPr>
        <w:numPr>
          <w:ilvl w:val="0"/>
          <w:numId w:val="1"/>
        </w:numPr>
        <w:pBdr>
          <w:top w:val="nil"/>
          <w:left w:val="nil"/>
          <w:bottom w:val="nil"/>
          <w:right w:val="nil"/>
          <w:between w:val="nil"/>
        </w:pBdr>
        <w:tabs>
          <w:tab w:val="left" w:pos="1307"/>
        </w:tabs>
        <w:jc w:val="both"/>
      </w:pPr>
      <w:r w:rsidRPr="00CB4FA0">
        <w:rPr>
          <w:color w:val="000000"/>
        </w:rPr>
        <w:t>Le 25 juillet 1983, une résolution du Conseil a institué des programmes-cadres pour des activités communautaires de recherche, de développement et de démonstration, et a ainsi lancé le premier PCRD, pour la période 1984-1987</w:t>
      </w:r>
      <w:r>
        <w:rPr>
          <w:color w:val="000000"/>
        </w:rPr>
        <w:t xml:space="preserve">. Le programme Horizon Europe </w:t>
      </w:r>
      <w:r w:rsidR="000F0E5A">
        <w:rPr>
          <w:color w:val="000000"/>
        </w:rPr>
        <w:t xml:space="preserve">(2021-2027) </w:t>
      </w:r>
      <w:r>
        <w:rPr>
          <w:color w:val="000000"/>
        </w:rPr>
        <w:t>sera le 9</w:t>
      </w:r>
      <w:r w:rsidRPr="00CB4FA0">
        <w:rPr>
          <w:color w:val="000000"/>
          <w:vertAlign w:val="superscript"/>
        </w:rPr>
        <w:t>e</w:t>
      </w:r>
      <w:r>
        <w:rPr>
          <w:color w:val="000000"/>
        </w:rPr>
        <w:t xml:space="preserve"> renouvellement de ce programme, après le FP7 (2007-2013)</w:t>
      </w:r>
      <w:r w:rsidR="000F0E5A">
        <w:rPr>
          <w:color w:val="000000"/>
        </w:rPr>
        <w:t xml:space="preserve"> et</w:t>
      </w:r>
      <w:r>
        <w:rPr>
          <w:color w:val="000000"/>
        </w:rPr>
        <w:t xml:space="preserve"> Horizon 2020 (2014-2020). Il est géré directement par la Commission, et disposera pour la nouvelle programmation de 95.5 milliards d’euros de budget (don</w:t>
      </w:r>
      <w:r w:rsidR="00DC7225">
        <w:rPr>
          <w:color w:val="000000"/>
        </w:rPr>
        <w:t>t</w:t>
      </w:r>
      <w:r>
        <w:rPr>
          <w:color w:val="000000"/>
        </w:rPr>
        <w:t xml:space="preserve"> 5 milliards issus du Plan de relance). </w:t>
      </w:r>
    </w:p>
    <w:p w14:paraId="7DBC96A9" w14:textId="1761B57C" w:rsidR="00BC239C" w:rsidRDefault="00746390" w:rsidP="00F63733">
      <w:pPr>
        <w:numPr>
          <w:ilvl w:val="0"/>
          <w:numId w:val="1"/>
        </w:numPr>
        <w:pBdr>
          <w:top w:val="nil"/>
          <w:left w:val="nil"/>
          <w:bottom w:val="nil"/>
          <w:right w:val="nil"/>
          <w:between w:val="nil"/>
        </w:pBdr>
        <w:tabs>
          <w:tab w:val="left" w:pos="1307"/>
        </w:tabs>
        <w:jc w:val="both"/>
      </w:pPr>
      <w:r>
        <w:rPr>
          <w:color w:val="000000"/>
        </w:rPr>
        <w:t>Des programmes de travail sont publiés tous les 2 ans pour présenter, à l’avance, les appels prévus sur la période. Le programme de travail 2021-2022 est donc publié, et sera suivi par la publication, fin 2022, de programmes de travail couvrant la période 2023-2024.</w:t>
      </w:r>
    </w:p>
    <w:p w14:paraId="1025E1DA" w14:textId="77777777" w:rsidR="00BC239C" w:rsidRPr="00CB4FA0" w:rsidRDefault="00BC239C" w:rsidP="00503AD5">
      <w:pPr>
        <w:pBdr>
          <w:top w:val="nil"/>
          <w:left w:val="nil"/>
          <w:bottom w:val="nil"/>
          <w:right w:val="nil"/>
          <w:between w:val="nil"/>
        </w:pBdr>
        <w:tabs>
          <w:tab w:val="left" w:pos="1307"/>
        </w:tabs>
        <w:jc w:val="both"/>
      </w:pPr>
    </w:p>
    <w:p w14:paraId="6FAA549A" w14:textId="72096C58" w:rsidR="00CB4FA0" w:rsidRDefault="00CB4FA0" w:rsidP="00CB4FA0">
      <w:r w:rsidRPr="00777D46">
        <w:rPr>
          <w:b/>
          <w:bCs/>
          <w:u w:val="single"/>
        </w:rPr>
        <w:t>Trois grands objectifs</w:t>
      </w:r>
      <w:r w:rsidR="006929D3" w:rsidRPr="00777D46">
        <w:rPr>
          <w:b/>
          <w:bCs/>
          <w:u w:val="single"/>
        </w:rPr>
        <w:t xml:space="preserve"> du programme</w:t>
      </w:r>
      <w:r>
        <w:t xml:space="preserve"> :</w:t>
      </w:r>
    </w:p>
    <w:p w14:paraId="6E8E6FB1" w14:textId="77777777" w:rsidR="00777D46" w:rsidRDefault="00777D46" w:rsidP="00CB4FA0"/>
    <w:p w14:paraId="27A8CDBC" w14:textId="77777777" w:rsidR="006929D3" w:rsidRDefault="00CB4FA0" w:rsidP="009252F7">
      <w:pPr>
        <w:pStyle w:val="Paragraphedeliste"/>
        <w:numPr>
          <w:ilvl w:val="0"/>
          <w:numId w:val="7"/>
        </w:numPr>
      </w:pPr>
      <w:r>
        <w:t>Lutter contre le changement climatique (35% du budget devront y être alloués)</w:t>
      </w:r>
    </w:p>
    <w:p w14:paraId="07289565" w14:textId="5567A8B6" w:rsidR="006929D3" w:rsidRDefault="00CB4FA0" w:rsidP="009252F7">
      <w:pPr>
        <w:pStyle w:val="Paragraphedeliste"/>
        <w:numPr>
          <w:ilvl w:val="0"/>
          <w:numId w:val="7"/>
        </w:numPr>
      </w:pPr>
      <w:r>
        <w:t>A</w:t>
      </w:r>
      <w:r w:rsidRPr="00B05674">
        <w:t>ide</w:t>
      </w:r>
      <w:r w:rsidR="00777D46">
        <w:t>r</w:t>
      </w:r>
      <w:r w:rsidRPr="00B05674">
        <w:t xml:space="preserve"> à réaliser les o</w:t>
      </w:r>
      <w:r>
        <w:t>bjectifs d</w:t>
      </w:r>
      <w:r w:rsidR="00777D46">
        <w:t>u</w:t>
      </w:r>
      <w:r>
        <w:t xml:space="preserve"> développement durable</w:t>
      </w:r>
    </w:p>
    <w:p w14:paraId="742C092E" w14:textId="13E9D1DB" w:rsidR="00CB4FA0" w:rsidRDefault="00CB4FA0" w:rsidP="009252F7">
      <w:pPr>
        <w:pStyle w:val="Paragraphedeliste"/>
        <w:numPr>
          <w:ilvl w:val="0"/>
          <w:numId w:val="7"/>
        </w:numPr>
      </w:pPr>
      <w:r>
        <w:t>R</w:t>
      </w:r>
      <w:r w:rsidRPr="00B05674">
        <w:t>enforcer la compétitivité et l</w:t>
      </w:r>
      <w:r>
        <w:t>a croissance de l’Union européenne</w:t>
      </w:r>
    </w:p>
    <w:p w14:paraId="2C86B26D" w14:textId="77777777" w:rsidR="006929D3" w:rsidRDefault="006929D3" w:rsidP="00CB4FA0"/>
    <w:p w14:paraId="6ABA0B42" w14:textId="6A58E750" w:rsidR="00467F28" w:rsidRPr="002D736A" w:rsidRDefault="000752F9" w:rsidP="00706999">
      <w:pPr>
        <w:jc w:val="both"/>
      </w:pPr>
      <w:r>
        <w:t>Comme mentionné plus haut, l</w:t>
      </w:r>
      <w:r w:rsidR="00CB4FA0">
        <w:t>e programme</w:t>
      </w:r>
      <w:r w:rsidR="00BC239C">
        <w:t xml:space="preserve"> Horizon Europe est di</w:t>
      </w:r>
      <w:r w:rsidR="00CB4FA0">
        <w:t>visé en 3 grands piliers :</w:t>
      </w:r>
    </w:p>
    <w:p w14:paraId="70114CB3" w14:textId="3AB486E7" w:rsidR="00BC239C" w:rsidRDefault="00CB4FA0" w:rsidP="009252F7">
      <w:pPr>
        <w:pStyle w:val="Paragraphedeliste"/>
        <w:numPr>
          <w:ilvl w:val="0"/>
          <w:numId w:val="7"/>
        </w:numPr>
        <w:jc w:val="both"/>
      </w:pPr>
      <w:r w:rsidRPr="00503AD5">
        <w:lastRenderedPageBreak/>
        <w:t>Pilier 1 </w:t>
      </w:r>
      <w:r w:rsidR="00550D53" w:rsidRPr="00503AD5">
        <w:t>– Excellence scientifique</w:t>
      </w:r>
      <w:r w:rsidR="00550D53">
        <w:t xml:space="preserve"> : </w:t>
      </w:r>
      <w:r>
        <w:t xml:space="preserve">Finance les </w:t>
      </w:r>
      <w:r w:rsidRPr="00B30C30">
        <w:t>« programme</w:t>
      </w:r>
      <w:r>
        <w:t>s</w:t>
      </w:r>
      <w:r w:rsidRPr="00B30C30">
        <w:t xml:space="preserve"> blanc</w:t>
      </w:r>
      <w:r>
        <w:t>s</w:t>
      </w:r>
      <w:r w:rsidRPr="00B30C30">
        <w:t xml:space="preserve"> », </w:t>
      </w:r>
      <w:r>
        <w:t>la recherche et l</w:t>
      </w:r>
      <w:r w:rsidR="001E5A62">
        <w:t>’</w:t>
      </w:r>
      <w:r w:rsidRPr="00B30C30">
        <w:t>excellence scie</w:t>
      </w:r>
      <w:r>
        <w:t xml:space="preserve">ntifique </w:t>
      </w:r>
      <w:r w:rsidR="00BC239C">
        <w:t>-</w:t>
      </w:r>
      <w:r>
        <w:t xml:space="preserve"> 25Mds</w:t>
      </w:r>
    </w:p>
    <w:p w14:paraId="58F99449" w14:textId="35276E30" w:rsidR="00BC239C" w:rsidRDefault="00CB4FA0" w:rsidP="009252F7">
      <w:pPr>
        <w:pStyle w:val="Paragraphedeliste"/>
        <w:numPr>
          <w:ilvl w:val="0"/>
          <w:numId w:val="7"/>
        </w:numPr>
        <w:jc w:val="both"/>
      </w:pPr>
      <w:r w:rsidRPr="00FD086C">
        <w:t>Pilier 2 </w:t>
      </w:r>
      <w:r w:rsidR="00550D53" w:rsidRPr="00FD086C">
        <w:t>– Problématiques mondiales et compétitivité européenne</w:t>
      </w:r>
      <w:r w:rsidR="00550D53">
        <w:t xml:space="preserve"> </w:t>
      </w:r>
      <w:r>
        <w:t>: Problématiques mondiales, rassemblent six clusters (</w:t>
      </w:r>
      <w:r w:rsidR="00DC7225">
        <w:t xml:space="preserve">qui sont </w:t>
      </w:r>
      <w:r>
        <w:t xml:space="preserve">les anciens « défis sociétaux » d’Horizon 2020) </w:t>
      </w:r>
      <w:r w:rsidR="00BC239C">
        <w:t xml:space="preserve">- </w:t>
      </w:r>
      <w:r>
        <w:t>53.3Mds</w:t>
      </w:r>
    </w:p>
    <w:p w14:paraId="17FF9CE9" w14:textId="1133A238" w:rsidR="00CB4FA0" w:rsidRPr="00C835D9" w:rsidRDefault="00CB4FA0" w:rsidP="009252F7">
      <w:pPr>
        <w:pStyle w:val="Paragraphedeliste"/>
        <w:numPr>
          <w:ilvl w:val="0"/>
          <w:numId w:val="7"/>
        </w:numPr>
        <w:jc w:val="both"/>
        <w:rPr>
          <w:b/>
          <w:bCs/>
        </w:rPr>
      </w:pPr>
      <w:r w:rsidRPr="00C835D9">
        <w:rPr>
          <w:b/>
          <w:bCs/>
        </w:rPr>
        <w:t xml:space="preserve">Pilier 3 </w:t>
      </w:r>
      <w:r w:rsidR="00550D53" w:rsidRPr="00C835D9">
        <w:rPr>
          <w:b/>
          <w:bCs/>
        </w:rPr>
        <w:t xml:space="preserve">– Europe innovante </w:t>
      </w:r>
      <w:r w:rsidRPr="00C835D9">
        <w:rPr>
          <w:b/>
          <w:bCs/>
        </w:rPr>
        <w:t xml:space="preserve">: cherche à </w:t>
      </w:r>
      <w:r w:rsidR="00941847" w:rsidRPr="00C835D9">
        <w:rPr>
          <w:b/>
          <w:bCs/>
        </w:rPr>
        <w:t>développer</w:t>
      </w:r>
      <w:r w:rsidRPr="00C835D9">
        <w:rPr>
          <w:b/>
          <w:bCs/>
        </w:rPr>
        <w:t xml:space="preserve"> les</w:t>
      </w:r>
      <w:r w:rsidR="00941847" w:rsidRPr="00C835D9">
        <w:rPr>
          <w:b/>
          <w:bCs/>
        </w:rPr>
        <w:t xml:space="preserve"> innovations de rupture et les</w:t>
      </w:r>
      <w:r w:rsidRPr="00C835D9">
        <w:rPr>
          <w:b/>
          <w:bCs/>
        </w:rPr>
        <w:t xml:space="preserve"> écosystèmes d’innovation</w:t>
      </w:r>
      <w:r w:rsidR="00BC239C" w:rsidRPr="00C835D9">
        <w:rPr>
          <w:b/>
          <w:bCs/>
        </w:rPr>
        <w:t xml:space="preserve"> -</w:t>
      </w:r>
      <w:r w:rsidRPr="00C835D9">
        <w:rPr>
          <w:b/>
          <w:bCs/>
        </w:rPr>
        <w:t xml:space="preserve"> 13.6Mds</w:t>
      </w:r>
    </w:p>
    <w:p w14:paraId="2203420B" w14:textId="77777777" w:rsidR="00777D46" w:rsidRDefault="00777D46" w:rsidP="00CB4FA0"/>
    <w:p w14:paraId="44335236" w14:textId="6FAEDA8D" w:rsidR="00CB4FA0" w:rsidRDefault="00BC239C" w:rsidP="00CB4FA0">
      <w:r w:rsidRPr="00BC239C">
        <w:t>S’y ajoute un pilier transver</w:t>
      </w:r>
      <w:r w:rsidR="002D736A">
        <w:t>s</w:t>
      </w:r>
      <w:r w:rsidRPr="00BC239C">
        <w:t>al</w:t>
      </w:r>
      <w:r w:rsidR="00941847">
        <w:t xml:space="preserve"> pour</w:t>
      </w:r>
      <w:r w:rsidR="00CB4FA0">
        <w:t xml:space="preserve"> « Elargir la participation et renforcer l’espace européen de la recherche » (3.4Mds)</w:t>
      </w:r>
      <w:r w:rsidR="00DC7225">
        <w:t>.</w:t>
      </w:r>
    </w:p>
    <w:p w14:paraId="09AAB90F" w14:textId="77777777" w:rsidR="00CB4FA0" w:rsidRPr="00CB4FA0" w:rsidRDefault="00CB4FA0" w:rsidP="00D11798">
      <w:pPr>
        <w:pBdr>
          <w:top w:val="nil"/>
          <w:left w:val="nil"/>
          <w:bottom w:val="nil"/>
          <w:right w:val="nil"/>
          <w:between w:val="nil"/>
        </w:pBdr>
        <w:tabs>
          <w:tab w:val="left" w:pos="1307"/>
        </w:tabs>
        <w:jc w:val="both"/>
      </w:pPr>
    </w:p>
    <w:p w14:paraId="193D5F1D" w14:textId="00947083" w:rsidR="00A356C5" w:rsidRDefault="00550D53" w:rsidP="00A356C5">
      <w:pPr>
        <w:rPr>
          <w:color w:val="000000"/>
        </w:rPr>
      </w:pPr>
      <w:r>
        <w:rPr>
          <w:noProof/>
          <w:color w:val="000000"/>
        </w:rPr>
        <w:drawing>
          <wp:inline distT="0" distB="0" distL="0" distR="0" wp14:anchorId="59ACF40B" wp14:editId="369E1CCA">
            <wp:extent cx="6210935" cy="2778760"/>
            <wp:effectExtent l="0" t="0" r="0" b="2540"/>
            <wp:docPr id="2" name="Image 2" descr="Piliers Horizon Eur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Piliers Horizon Europe"/>
                    <pic:cNvPicPr/>
                  </pic:nvPicPr>
                  <pic:blipFill>
                    <a:blip r:embed="rId10">
                      <a:extLst>
                        <a:ext uri="{28A0092B-C50C-407E-A947-70E740481C1C}">
                          <a14:useLocalDpi xmlns:a14="http://schemas.microsoft.com/office/drawing/2010/main" val="0"/>
                        </a:ext>
                      </a:extLst>
                    </a:blip>
                    <a:stretch>
                      <a:fillRect/>
                    </a:stretch>
                  </pic:blipFill>
                  <pic:spPr>
                    <a:xfrm>
                      <a:off x="0" y="0"/>
                      <a:ext cx="6210935" cy="2778760"/>
                    </a:xfrm>
                    <a:prstGeom prst="rect">
                      <a:avLst/>
                    </a:prstGeom>
                  </pic:spPr>
                </pic:pic>
              </a:graphicData>
            </a:graphic>
          </wp:inline>
        </w:drawing>
      </w:r>
    </w:p>
    <w:p w14:paraId="00560DA4" w14:textId="7AC2B826" w:rsidR="00550D53" w:rsidRPr="006929D3" w:rsidRDefault="006929D3" w:rsidP="00A356C5">
      <w:pPr>
        <w:rPr>
          <w:i/>
          <w:iCs/>
          <w:color w:val="000000"/>
          <w:sz w:val="20"/>
          <w:szCs w:val="20"/>
        </w:rPr>
      </w:pPr>
      <w:r w:rsidRPr="006929D3">
        <w:rPr>
          <w:i/>
          <w:iCs/>
          <w:color w:val="000000"/>
          <w:sz w:val="20"/>
          <w:szCs w:val="20"/>
        </w:rPr>
        <w:t xml:space="preserve">Source : </w:t>
      </w:r>
      <w:hyperlink r:id="rId11" w:history="1">
        <w:r w:rsidR="00757448" w:rsidRPr="00E8524D">
          <w:rPr>
            <w:rStyle w:val="Lienhypertexte"/>
            <w:i/>
            <w:iCs/>
            <w:sz w:val="20"/>
            <w:szCs w:val="20"/>
          </w:rPr>
          <w:t>https://www.horizon-europe.gouv.fr/presentation-du-programme-horizon-europe-24104</w:t>
        </w:r>
      </w:hyperlink>
      <w:r w:rsidR="00757448">
        <w:rPr>
          <w:i/>
          <w:iCs/>
          <w:color w:val="000000"/>
          <w:sz w:val="20"/>
          <w:szCs w:val="20"/>
        </w:rPr>
        <w:t xml:space="preserve"> </w:t>
      </w:r>
    </w:p>
    <w:p w14:paraId="604A8D77" w14:textId="2721F5EF" w:rsidR="007051C1" w:rsidRDefault="007051C1" w:rsidP="00A356C5">
      <w:pPr>
        <w:rPr>
          <w:color w:val="000000"/>
        </w:rPr>
      </w:pPr>
    </w:p>
    <w:p w14:paraId="0000001C" w14:textId="0CAF8CB3" w:rsidR="00CC781C" w:rsidRDefault="00777D46">
      <w:pPr>
        <w:pStyle w:val="Titre1"/>
        <w:ind w:firstLine="360"/>
      </w:pPr>
      <w:r>
        <w:t>Structuration des piliers</w:t>
      </w:r>
    </w:p>
    <w:p w14:paraId="7488C220" w14:textId="77777777" w:rsidR="004E634A" w:rsidRDefault="004E634A" w:rsidP="004E634A">
      <w:pPr>
        <w:pBdr>
          <w:top w:val="nil"/>
          <w:left w:val="nil"/>
          <w:bottom w:val="nil"/>
          <w:right w:val="nil"/>
          <w:between w:val="nil"/>
        </w:pBdr>
        <w:tabs>
          <w:tab w:val="left" w:pos="1307"/>
        </w:tabs>
        <w:jc w:val="both"/>
      </w:pPr>
    </w:p>
    <w:p w14:paraId="063B728B" w14:textId="4C2B12C7" w:rsidR="00915DA6" w:rsidRDefault="00777D46" w:rsidP="00777D46">
      <w:pPr>
        <w:pBdr>
          <w:top w:val="nil"/>
          <w:left w:val="nil"/>
          <w:bottom w:val="nil"/>
          <w:right w:val="nil"/>
          <w:between w:val="nil"/>
        </w:pBdr>
        <w:tabs>
          <w:tab w:val="left" w:pos="1307"/>
        </w:tabs>
        <w:jc w:val="both"/>
      </w:pPr>
      <w:r>
        <w:t xml:space="preserve">Le pilier </w:t>
      </w:r>
      <w:r w:rsidR="006B583D">
        <w:t>3</w:t>
      </w:r>
      <w:r>
        <w:t xml:space="preserve"> comprend donc trois programmes spécifiques : </w:t>
      </w:r>
    </w:p>
    <w:p w14:paraId="68672D4F" w14:textId="5DC3A69D" w:rsidR="009F798D" w:rsidRDefault="009F798D" w:rsidP="009F798D">
      <w:pPr>
        <w:pBdr>
          <w:top w:val="nil"/>
          <w:left w:val="nil"/>
          <w:bottom w:val="nil"/>
          <w:right w:val="nil"/>
          <w:between w:val="nil"/>
        </w:pBdr>
        <w:tabs>
          <w:tab w:val="left" w:pos="1307"/>
        </w:tabs>
        <w:jc w:val="both"/>
      </w:pPr>
    </w:p>
    <w:p w14:paraId="3603171A" w14:textId="607A778A" w:rsidR="00915DA6" w:rsidRDefault="00777D46" w:rsidP="009252F7">
      <w:pPr>
        <w:pStyle w:val="Paragraphedeliste"/>
        <w:numPr>
          <w:ilvl w:val="0"/>
          <w:numId w:val="8"/>
        </w:numPr>
        <w:pBdr>
          <w:top w:val="nil"/>
          <w:left w:val="nil"/>
          <w:bottom w:val="nil"/>
          <w:right w:val="nil"/>
          <w:between w:val="nil"/>
        </w:pBdr>
        <w:tabs>
          <w:tab w:val="left" w:pos="1307"/>
        </w:tabs>
        <w:jc w:val="both"/>
      </w:pPr>
      <w:r>
        <w:t xml:space="preserve">Le </w:t>
      </w:r>
      <w:r w:rsidR="00915DA6">
        <w:t xml:space="preserve">Conseil européen </w:t>
      </w:r>
      <w:r w:rsidR="00CD05F6">
        <w:t>pour l’Innovation</w:t>
      </w:r>
      <w:r w:rsidR="00915DA6">
        <w:t xml:space="preserve"> (</w:t>
      </w:r>
      <w:r w:rsidR="00CD05F6">
        <w:t>EIC</w:t>
      </w:r>
      <w:r w:rsidR="00915DA6">
        <w:t>)</w:t>
      </w:r>
      <w:r w:rsidR="00B45050">
        <w:t xml:space="preserve"> – 1,5 Mds € pour 2021</w:t>
      </w:r>
      <w:r w:rsidR="00B45050">
        <w:rPr>
          <w:rStyle w:val="Appelnotedebasdep"/>
        </w:rPr>
        <w:footnoteReference w:id="1"/>
      </w:r>
    </w:p>
    <w:p w14:paraId="08BB3922" w14:textId="18D6CB00" w:rsidR="00293BE4" w:rsidRDefault="00777D46" w:rsidP="009252F7">
      <w:pPr>
        <w:pStyle w:val="Paragraphedeliste"/>
        <w:numPr>
          <w:ilvl w:val="0"/>
          <w:numId w:val="8"/>
        </w:numPr>
        <w:pBdr>
          <w:top w:val="nil"/>
          <w:left w:val="nil"/>
          <w:bottom w:val="nil"/>
          <w:right w:val="nil"/>
          <w:between w:val="nil"/>
        </w:pBdr>
        <w:tabs>
          <w:tab w:val="left" w:pos="1307"/>
        </w:tabs>
        <w:jc w:val="both"/>
      </w:pPr>
      <w:r>
        <w:t xml:space="preserve">Les </w:t>
      </w:r>
      <w:r w:rsidR="008C1324">
        <w:t>Ecosystèmes européens d’innovation (EIE)</w:t>
      </w:r>
      <w:r w:rsidR="0024636D">
        <w:t xml:space="preserve"> – 527 millions €</w:t>
      </w:r>
    </w:p>
    <w:p w14:paraId="304A4E38" w14:textId="67E14748" w:rsidR="00293BE4" w:rsidRDefault="00293BE4" w:rsidP="009252F7">
      <w:pPr>
        <w:pStyle w:val="Paragraphedeliste"/>
        <w:numPr>
          <w:ilvl w:val="0"/>
          <w:numId w:val="8"/>
        </w:numPr>
        <w:pBdr>
          <w:top w:val="nil"/>
          <w:left w:val="nil"/>
          <w:bottom w:val="nil"/>
          <w:right w:val="nil"/>
          <w:between w:val="nil"/>
        </w:pBdr>
        <w:tabs>
          <w:tab w:val="left" w:pos="1307"/>
        </w:tabs>
        <w:jc w:val="both"/>
      </w:pPr>
      <w:r>
        <w:t>L’instrument européen d’innovation et de technologie (EIT) –</w:t>
      </w:r>
      <w:r w:rsidR="000F72D4">
        <w:t xml:space="preserve"> 3 Mds</w:t>
      </w:r>
      <w:r w:rsidR="0024636D">
        <w:t xml:space="preserve"> €</w:t>
      </w:r>
    </w:p>
    <w:p w14:paraId="3850AC0C" w14:textId="13E720B7" w:rsidR="00442DFB" w:rsidRDefault="00442DFB" w:rsidP="00442DFB">
      <w:pPr>
        <w:pBdr>
          <w:top w:val="nil"/>
          <w:left w:val="nil"/>
          <w:bottom w:val="nil"/>
          <w:right w:val="nil"/>
          <w:between w:val="nil"/>
        </w:pBdr>
        <w:tabs>
          <w:tab w:val="left" w:pos="1307"/>
        </w:tabs>
        <w:jc w:val="both"/>
      </w:pPr>
    </w:p>
    <w:p w14:paraId="60B45DB6" w14:textId="0C9DD35E" w:rsidR="00174DBD" w:rsidRDefault="00174DBD" w:rsidP="00174DBD">
      <w:pPr>
        <w:pBdr>
          <w:top w:val="nil"/>
          <w:left w:val="nil"/>
          <w:bottom w:val="nil"/>
          <w:right w:val="nil"/>
          <w:between w:val="nil"/>
        </w:pBdr>
        <w:tabs>
          <w:tab w:val="left" w:pos="1307"/>
        </w:tabs>
        <w:jc w:val="both"/>
      </w:pPr>
      <w:r>
        <w:t xml:space="preserve">De ces trois </w:t>
      </w:r>
      <w:r w:rsidR="00850600">
        <w:t>programmes celui</w:t>
      </w:r>
      <w:r>
        <w:t xml:space="preserve"> qui concerne principalement les porteurs de projet est le volet « EIC – Conseil Européen de l’Innovation ». </w:t>
      </w:r>
    </w:p>
    <w:p w14:paraId="650DA47F" w14:textId="576C7AC5" w:rsidR="00401A44" w:rsidRDefault="00401A44" w:rsidP="00174DBD">
      <w:pPr>
        <w:pBdr>
          <w:top w:val="nil"/>
          <w:left w:val="nil"/>
          <w:bottom w:val="nil"/>
          <w:right w:val="nil"/>
          <w:between w:val="nil"/>
        </w:pBdr>
        <w:tabs>
          <w:tab w:val="left" w:pos="1307"/>
        </w:tabs>
        <w:jc w:val="both"/>
      </w:pPr>
    </w:p>
    <w:p w14:paraId="77AEC136" w14:textId="47F878D3" w:rsidR="00401A44" w:rsidRDefault="00401A44" w:rsidP="00174DBD">
      <w:pPr>
        <w:pBdr>
          <w:top w:val="nil"/>
          <w:left w:val="nil"/>
          <w:bottom w:val="nil"/>
          <w:right w:val="nil"/>
          <w:between w:val="nil"/>
        </w:pBdr>
        <w:tabs>
          <w:tab w:val="left" w:pos="1307"/>
        </w:tabs>
        <w:jc w:val="both"/>
      </w:pPr>
      <w:r w:rsidRPr="00F546D4">
        <w:rPr>
          <w:b/>
          <w:bCs/>
        </w:rPr>
        <w:t>L’EIC</w:t>
      </w:r>
      <w:r>
        <w:t xml:space="preserve"> est</w:t>
      </w:r>
      <w:r w:rsidRPr="00401A44">
        <w:t xml:space="preserve"> </w:t>
      </w:r>
      <w:r w:rsidR="00850600">
        <w:t xml:space="preserve">en effet </w:t>
      </w:r>
      <w:r w:rsidRPr="00401A44">
        <w:t>dédié aux innovations prometteuses à haut risque</w:t>
      </w:r>
      <w:r>
        <w:t>. 70% de son budget est dédié aux PME et start-ups. L’EIC vise à soutenir l’innovation européenne en finançant tous les stades de l’innovation (de TRL 3 à 9) pour des innovations « de rupture » ayant vocation à transformer ou à créer de nouveaux marchés.</w:t>
      </w:r>
    </w:p>
    <w:p w14:paraId="5BD447EC" w14:textId="79D814A1" w:rsidR="00401A44" w:rsidRDefault="00401A44" w:rsidP="00174DBD">
      <w:pPr>
        <w:pBdr>
          <w:top w:val="nil"/>
          <w:left w:val="nil"/>
          <w:bottom w:val="nil"/>
          <w:right w:val="nil"/>
          <w:between w:val="nil"/>
        </w:pBdr>
        <w:tabs>
          <w:tab w:val="left" w:pos="1307"/>
        </w:tabs>
        <w:jc w:val="both"/>
      </w:pPr>
    </w:p>
    <w:p w14:paraId="2D82F56B" w14:textId="10AADDB2" w:rsidR="00401A44" w:rsidRDefault="00401A44" w:rsidP="00401A44">
      <w:pPr>
        <w:pBdr>
          <w:top w:val="nil"/>
          <w:left w:val="nil"/>
          <w:bottom w:val="nil"/>
          <w:right w:val="nil"/>
          <w:between w:val="nil"/>
        </w:pBdr>
        <w:tabs>
          <w:tab w:val="left" w:pos="1307"/>
        </w:tabs>
        <w:jc w:val="both"/>
      </w:pPr>
      <w:r>
        <w:t>Le volet "</w:t>
      </w:r>
      <w:r w:rsidRPr="00013795">
        <w:rPr>
          <w:b/>
          <w:bCs/>
        </w:rPr>
        <w:t>Écosystèmes européens d'innovation</w:t>
      </w:r>
      <w:r>
        <w:t xml:space="preserve">" vise </w:t>
      </w:r>
      <w:r w:rsidR="00850600">
        <w:t xml:space="preserve">lui </w:t>
      </w:r>
      <w:r>
        <w:t>à renforcer le paysage européen de l'innovation, en connectant l'ensemble des acteurs - publics et privés, nationaux et locaux - des écosystèmes d'innovation en Europe afin d'élargir leurs opportunités de développer et déployer leurs produits.</w:t>
      </w:r>
    </w:p>
    <w:p w14:paraId="0BF1109F" w14:textId="77777777" w:rsidR="00B23F50" w:rsidRDefault="00B23F50" w:rsidP="00B23F50">
      <w:pPr>
        <w:pBdr>
          <w:top w:val="nil"/>
          <w:left w:val="nil"/>
          <w:bottom w:val="nil"/>
          <w:right w:val="nil"/>
          <w:between w:val="nil"/>
        </w:pBdr>
        <w:tabs>
          <w:tab w:val="left" w:pos="1307"/>
        </w:tabs>
        <w:jc w:val="both"/>
      </w:pPr>
    </w:p>
    <w:p w14:paraId="719C53E7" w14:textId="1B4D9F9D" w:rsidR="00401A44" w:rsidRDefault="00401A44" w:rsidP="00B23F50">
      <w:pPr>
        <w:pBdr>
          <w:top w:val="nil"/>
          <w:left w:val="nil"/>
          <w:bottom w:val="nil"/>
          <w:right w:val="nil"/>
          <w:between w:val="nil"/>
        </w:pBdr>
        <w:tabs>
          <w:tab w:val="left" w:pos="1307"/>
        </w:tabs>
        <w:jc w:val="both"/>
      </w:pPr>
      <w:r>
        <w:lastRenderedPageBreak/>
        <w:t xml:space="preserve">L’objectif </w:t>
      </w:r>
      <w:r w:rsidRPr="00013795">
        <w:rPr>
          <w:b/>
          <w:bCs/>
        </w:rPr>
        <w:t>de l’Institut européen d'innovation et de technologie</w:t>
      </w:r>
      <w:r>
        <w:t xml:space="preserve"> (EIT) est de renforcer la capacité d'innovation de l'Europe à travers les communautés de la connaissance et de l'innovation (KIC). Les KIC sont des partenariats paneuropéens dynamiques et de longue durée qui ont pour mission de trouver des solutions à des défis ou problématiques mondiaux donnés.</w:t>
      </w:r>
    </w:p>
    <w:p w14:paraId="18B0E784" w14:textId="5308986F" w:rsidR="00F95ACB" w:rsidRDefault="00293BE4" w:rsidP="00BA1C88">
      <w:pPr>
        <w:pStyle w:val="Titre1"/>
        <w:ind w:left="0"/>
      </w:pPr>
      <w:r>
        <w:t>EIC</w:t>
      </w:r>
      <w:r w:rsidR="0087250B">
        <w:t xml:space="preserve"> – Conseil européen pour l’Innovation</w:t>
      </w:r>
    </w:p>
    <w:p w14:paraId="7DB7EC09" w14:textId="7490B0C5" w:rsidR="00174DBD" w:rsidRDefault="00174DBD" w:rsidP="00754CB4">
      <w:pPr>
        <w:pBdr>
          <w:top w:val="nil"/>
          <w:left w:val="nil"/>
          <w:bottom w:val="nil"/>
          <w:right w:val="nil"/>
          <w:between w:val="nil"/>
        </w:pBdr>
        <w:tabs>
          <w:tab w:val="left" w:pos="1307"/>
        </w:tabs>
        <w:jc w:val="both"/>
      </w:pPr>
    </w:p>
    <w:tbl>
      <w:tblPr>
        <w:tblStyle w:val="TableauGrille2-Accentuation3"/>
        <w:tblW w:w="0" w:type="auto"/>
        <w:tblLook w:val="04A0" w:firstRow="1" w:lastRow="0" w:firstColumn="1" w:lastColumn="0" w:noHBand="0" w:noVBand="1"/>
      </w:tblPr>
      <w:tblGrid>
        <w:gridCol w:w="1628"/>
        <w:gridCol w:w="2625"/>
        <w:gridCol w:w="695"/>
        <w:gridCol w:w="2282"/>
        <w:gridCol w:w="2268"/>
      </w:tblGrid>
      <w:tr w:rsidR="00DE5AB5" w14:paraId="38D8A304" w14:textId="77777777" w:rsidTr="00A256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8" w:type="dxa"/>
          </w:tcPr>
          <w:p w14:paraId="7C7FF727" w14:textId="77777777" w:rsidR="00DE5AB5" w:rsidRDefault="00DE5AB5" w:rsidP="00754CB4">
            <w:pPr>
              <w:tabs>
                <w:tab w:val="left" w:pos="1307"/>
              </w:tabs>
              <w:jc w:val="both"/>
            </w:pPr>
          </w:p>
        </w:tc>
        <w:tc>
          <w:tcPr>
            <w:tcW w:w="2625" w:type="dxa"/>
          </w:tcPr>
          <w:p w14:paraId="3C849B8A" w14:textId="2E7BBBC2" w:rsidR="00DE5AB5" w:rsidRDefault="00DE5AB5" w:rsidP="00754CB4">
            <w:pPr>
              <w:tabs>
                <w:tab w:val="left" w:pos="1307"/>
              </w:tabs>
              <w:jc w:val="both"/>
              <w:cnfStyle w:val="100000000000" w:firstRow="1" w:lastRow="0" w:firstColumn="0" w:lastColumn="0" w:oddVBand="0" w:evenVBand="0" w:oddHBand="0" w:evenHBand="0" w:firstRowFirstColumn="0" w:firstRowLastColumn="0" w:lastRowFirstColumn="0" w:lastRowLastColumn="0"/>
            </w:pPr>
            <w:r>
              <w:t>Partenariat</w:t>
            </w:r>
          </w:p>
        </w:tc>
        <w:tc>
          <w:tcPr>
            <w:tcW w:w="695" w:type="dxa"/>
          </w:tcPr>
          <w:p w14:paraId="464FD5B3" w14:textId="09712627" w:rsidR="00DE5AB5" w:rsidRDefault="00DE5AB5" w:rsidP="00754CB4">
            <w:pPr>
              <w:tabs>
                <w:tab w:val="left" w:pos="1307"/>
              </w:tabs>
              <w:jc w:val="both"/>
              <w:cnfStyle w:val="100000000000" w:firstRow="1" w:lastRow="0" w:firstColumn="0" w:lastColumn="0" w:oddVBand="0" w:evenVBand="0" w:oddHBand="0" w:evenHBand="0" w:firstRowFirstColumn="0" w:firstRowLastColumn="0" w:lastRowFirstColumn="0" w:lastRowLastColumn="0"/>
            </w:pPr>
            <w:r>
              <w:t>TRL</w:t>
            </w:r>
          </w:p>
        </w:tc>
        <w:tc>
          <w:tcPr>
            <w:tcW w:w="2282" w:type="dxa"/>
          </w:tcPr>
          <w:p w14:paraId="7FC60253" w14:textId="4F6C97E6" w:rsidR="00DE5AB5" w:rsidRDefault="00DE5AB5" w:rsidP="00754CB4">
            <w:pPr>
              <w:tabs>
                <w:tab w:val="left" w:pos="1307"/>
              </w:tabs>
              <w:jc w:val="both"/>
              <w:cnfStyle w:val="100000000000" w:firstRow="1" w:lastRow="0" w:firstColumn="0" w:lastColumn="0" w:oddVBand="0" w:evenVBand="0" w:oddHBand="0" w:evenHBand="0" w:firstRowFirstColumn="0" w:firstRowLastColumn="0" w:lastRowFirstColumn="0" w:lastRowLastColumn="0"/>
            </w:pPr>
            <w:r>
              <w:t>Financement</w:t>
            </w:r>
          </w:p>
        </w:tc>
        <w:tc>
          <w:tcPr>
            <w:tcW w:w="2268" w:type="dxa"/>
          </w:tcPr>
          <w:p w14:paraId="6A54233C" w14:textId="418BF72D" w:rsidR="00DE5AB5" w:rsidRDefault="009B2FDE" w:rsidP="00754CB4">
            <w:pPr>
              <w:tabs>
                <w:tab w:val="left" w:pos="1307"/>
              </w:tabs>
              <w:jc w:val="both"/>
              <w:cnfStyle w:val="100000000000" w:firstRow="1" w:lastRow="0" w:firstColumn="0" w:lastColumn="0" w:oddVBand="0" w:evenVBand="0" w:oddHBand="0" w:evenHBand="0" w:firstRowFirstColumn="0" w:firstRowLastColumn="0" w:lastRowFirstColumn="0" w:lastRowLastColumn="0"/>
            </w:pPr>
            <w:r>
              <w:t>Acteurs</w:t>
            </w:r>
          </w:p>
        </w:tc>
      </w:tr>
      <w:tr w:rsidR="00DE5AB5" w:rsidRPr="009B2FDE" w14:paraId="04DFE8DD" w14:textId="77777777" w:rsidTr="00A256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8" w:type="dxa"/>
          </w:tcPr>
          <w:p w14:paraId="69F2B1B5" w14:textId="262521DA" w:rsidR="00DE5AB5" w:rsidRDefault="00DE5AB5" w:rsidP="00754CB4">
            <w:pPr>
              <w:tabs>
                <w:tab w:val="left" w:pos="1307"/>
              </w:tabs>
              <w:jc w:val="both"/>
            </w:pPr>
            <w:r>
              <w:t>Eclaireur</w:t>
            </w:r>
          </w:p>
        </w:tc>
        <w:tc>
          <w:tcPr>
            <w:tcW w:w="2625" w:type="dxa"/>
          </w:tcPr>
          <w:p w14:paraId="574593EF" w14:textId="697E56AF" w:rsidR="00DE5AB5" w:rsidRPr="00A256B1" w:rsidRDefault="000F30EF" w:rsidP="00754CB4">
            <w:pPr>
              <w:tabs>
                <w:tab w:val="left" w:pos="1307"/>
              </w:tabs>
              <w:jc w:val="both"/>
              <w:cnfStyle w:val="000000100000" w:firstRow="0" w:lastRow="0" w:firstColumn="0" w:lastColumn="0" w:oddVBand="0" w:evenVBand="0" w:oddHBand="1" w:evenHBand="0" w:firstRowFirstColumn="0" w:firstRowLastColumn="0" w:lastRowFirstColumn="0" w:lastRowLastColumn="0"/>
            </w:pPr>
            <w:r w:rsidRPr="00A256B1">
              <w:t>Monopartenaire possible (Défis), sinon au moins 3 acteurs issus d’Etats différents</w:t>
            </w:r>
          </w:p>
        </w:tc>
        <w:tc>
          <w:tcPr>
            <w:tcW w:w="695" w:type="dxa"/>
          </w:tcPr>
          <w:p w14:paraId="23492B24" w14:textId="39027569" w:rsidR="00DE5AB5" w:rsidRPr="00A256B1" w:rsidRDefault="00654244" w:rsidP="00754CB4">
            <w:pPr>
              <w:tabs>
                <w:tab w:val="left" w:pos="1307"/>
              </w:tabs>
              <w:jc w:val="both"/>
              <w:cnfStyle w:val="000000100000" w:firstRow="0" w:lastRow="0" w:firstColumn="0" w:lastColumn="0" w:oddVBand="0" w:evenVBand="0" w:oddHBand="1" w:evenHBand="0" w:firstRowFirstColumn="0" w:firstRowLastColumn="0" w:lastRowFirstColumn="0" w:lastRowLastColumn="0"/>
            </w:pPr>
            <w:r>
              <w:t xml:space="preserve">1 à </w:t>
            </w:r>
            <w:r w:rsidR="00DE5AB5" w:rsidRPr="00A256B1">
              <w:t>3-4</w:t>
            </w:r>
          </w:p>
        </w:tc>
        <w:tc>
          <w:tcPr>
            <w:tcW w:w="2282" w:type="dxa"/>
          </w:tcPr>
          <w:p w14:paraId="4908CC75" w14:textId="0F65090B" w:rsidR="00DE5AB5" w:rsidRPr="00A256B1" w:rsidRDefault="00DE5AB5" w:rsidP="00754CB4">
            <w:pPr>
              <w:tabs>
                <w:tab w:val="left" w:pos="1307"/>
              </w:tabs>
              <w:jc w:val="both"/>
              <w:cnfStyle w:val="000000100000" w:firstRow="0" w:lastRow="0" w:firstColumn="0" w:lastColumn="0" w:oddVBand="0" w:evenVBand="0" w:oddHBand="1" w:evenHBand="0" w:firstRowFirstColumn="0" w:firstRowLastColumn="0" w:lastRowFirstColumn="0" w:lastRowLastColumn="0"/>
            </w:pPr>
            <w:r w:rsidRPr="00A256B1">
              <w:t>Subvention</w:t>
            </w:r>
          </w:p>
        </w:tc>
        <w:tc>
          <w:tcPr>
            <w:tcW w:w="2268" w:type="dxa"/>
          </w:tcPr>
          <w:p w14:paraId="7198902C" w14:textId="042C396F" w:rsidR="00DE5AB5" w:rsidRPr="00A256B1" w:rsidRDefault="00812F86" w:rsidP="00754CB4">
            <w:pPr>
              <w:tabs>
                <w:tab w:val="left" w:pos="1307"/>
              </w:tabs>
              <w:jc w:val="both"/>
              <w:cnfStyle w:val="000000100000" w:firstRow="0" w:lastRow="0" w:firstColumn="0" w:lastColumn="0" w:oddVBand="0" w:evenVBand="0" w:oddHBand="1" w:evenHBand="0" w:firstRowFirstColumn="0" w:firstRowLastColumn="0" w:lastRowFirstColumn="0" w:lastRowLastColumn="0"/>
            </w:pPr>
            <w:r w:rsidRPr="00A256B1">
              <w:t>Tout acteur de l’innovation</w:t>
            </w:r>
          </w:p>
        </w:tc>
      </w:tr>
      <w:tr w:rsidR="00DE5AB5" w14:paraId="44821DA7" w14:textId="77777777" w:rsidTr="00A256B1">
        <w:tc>
          <w:tcPr>
            <w:cnfStyle w:val="001000000000" w:firstRow="0" w:lastRow="0" w:firstColumn="1" w:lastColumn="0" w:oddVBand="0" w:evenVBand="0" w:oddHBand="0" w:evenHBand="0" w:firstRowFirstColumn="0" w:firstRowLastColumn="0" w:lastRowFirstColumn="0" w:lastRowLastColumn="0"/>
            <w:tcW w:w="1628" w:type="dxa"/>
          </w:tcPr>
          <w:p w14:paraId="1CF529F3" w14:textId="0ED3D089" w:rsidR="00DE5AB5" w:rsidRDefault="00DE5AB5" w:rsidP="00754CB4">
            <w:pPr>
              <w:tabs>
                <w:tab w:val="left" w:pos="1307"/>
              </w:tabs>
              <w:jc w:val="both"/>
            </w:pPr>
            <w:r>
              <w:t>Transition</w:t>
            </w:r>
          </w:p>
        </w:tc>
        <w:tc>
          <w:tcPr>
            <w:tcW w:w="2625" w:type="dxa"/>
          </w:tcPr>
          <w:p w14:paraId="1931165D" w14:textId="23748B4A" w:rsidR="00DE5AB5" w:rsidRPr="00A256B1" w:rsidRDefault="00DE5AB5" w:rsidP="00754CB4">
            <w:pPr>
              <w:tabs>
                <w:tab w:val="left" w:pos="1307"/>
              </w:tabs>
              <w:jc w:val="both"/>
              <w:cnfStyle w:val="000000000000" w:firstRow="0" w:lastRow="0" w:firstColumn="0" w:lastColumn="0" w:oddVBand="0" w:evenVBand="0" w:oddHBand="0" w:evenHBand="0" w:firstRowFirstColumn="0" w:firstRowLastColumn="0" w:lastRowFirstColumn="0" w:lastRowLastColumn="0"/>
            </w:pPr>
            <w:r w:rsidRPr="00A256B1">
              <w:t>1 à 5 acteurs</w:t>
            </w:r>
          </w:p>
        </w:tc>
        <w:tc>
          <w:tcPr>
            <w:tcW w:w="695" w:type="dxa"/>
          </w:tcPr>
          <w:p w14:paraId="0B33C036" w14:textId="3B86D8B9" w:rsidR="00DE5AB5" w:rsidRPr="00A256B1" w:rsidRDefault="00DE5AB5" w:rsidP="00754CB4">
            <w:pPr>
              <w:tabs>
                <w:tab w:val="left" w:pos="1307"/>
              </w:tabs>
              <w:jc w:val="both"/>
              <w:cnfStyle w:val="000000000000" w:firstRow="0" w:lastRow="0" w:firstColumn="0" w:lastColumn="0" w:oddVBand="0" w:evenVBand="0" w:oddHBand="0" w:evenHBand="0" w:firstRowFirstColumn="0" w:firstRowLastColumn="0" w:lastRowFirstColumn="0" w:lastRowLastColumn="0"/>
            </w:pPr>
            <w:r w:rsidRPr="00A256B1">
              <w:t>3 à 6</w:t>
            </w:r>
          </w:p>
        </w:tc>
        <w:tc>
          <w:tcPr>
            <w:tcW w:w="2282" w:type="dxa"/>
          </w:tcPr>
          <w:p w14:paraId="5B618399" w14:textId="48C1F32F" w:rsidR="00DE5AB5" w:rsidRPr="00A256B1" w:rsidRDefault="00DE5AB5" w:rsidP="00754CB4">
            <w:pPr>
              <w:tabs>
                <w:tab w:val="left" w:pos="1307"/>
              </w:tabs>
              <w:jc w:val="both"/>
              <w:cnfStyle w:val="000000000000" w:firstRow="0" w:lastRow="0" w:firstColumn="0" w:lastColumn="0" w:oddVBand="0" w:evenVBand="0" w:oddHBand="0" w:evenHBand="0" w:firstRowFirstColumn="0" w:firstRowLastColumn="0" w:lastRowFirstColumn="0" w:lastRowLastColumn="0"/>
            </w:pPr>
            <w:r w:rsidRPr="00A256B1">
              <w:t>Subvention</w:t>
            </w:r>
          </w:p>
        </w:tc>
        <w:tc>
          <w:tcPr>
            <w:tcW w:w="2268" w:type="dxa"/>
          </w:tcPr>
          <w:p w14:paraId="47027653" w14:textId="2759200F" w:rsidR="00DE5AB5" w:rsidRPr="00A256B1" w:rsidRDefault="009B2FDE" w:rsidP="00754CB4">
            <w:pPr>
              <w:tabs>
                <w:tab w:val="left" w:pos="1307"/>
              </w:tabs>
              <w:jc w:val="both"/>
              <w:cnfStyle w:val="000000000000" w:firstRow="0" w:lastRow="0" w:firstColumn="0" w:lastColumn="0" w:oddVBand="0" w:evenVBand="0" w:oddHBand="0" w:evenHBand="0" w:firstRowFirstColumn="0" w:firstRowLastColumn="0" w:lastRowFirstColumn="0" w:lastRowLastColumn="0"/>
            </w:pPr>
            <w:r w:rsidRPr="00A256B1">
              <w:t>PME ou start-up uniquement</w:t>
            </w:r>
          </w:p>
        </w:tc>
      </w:tr>
      <w:tr w:rsidR="00DE5AB5" w14:paraId="47C809BE" w14:textId="77777777" w:rsidTr="00A256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8" w:type="dxa"/>
          </w:tcPr>
          <w:p w14:paraId="4EB85ECB" w14:textId="6E275DD1" w:rsidR="00DE5AB5" w:rsidRDefault="00DE5AB5" w:rsidP="00754CB4">
            <w:pPr>
              <w:tabs>
                <w:tab w:val="left" w:pos="1307"/>
              </w:tabs>
              <w:jc w:val="both"/>
            </w:pPr>
            <w:r>
              <w:t>Accélérateur</w:t>
            </w:r>
          </w:p>
        </w:tc>
        <w:tc>
          <w:tcPr>
            <w:tcW w:w="2625" w:type="dxa"/>
          </w:tcPr>
          <w:p w14:paraId="732D3794" w14:textId="2A69F251" w:rsidR="00DE5AB5" w:rsidRPr="00A256B1" w:rsidRDefault="0036229B" w:rsidP="00754CB4">
            <w:pPr>
              <w:tabs>
                <w:tab w:val="left" w:pos="1307"/>
              </w:tabs>
              <w:jc w:val="both"/>
              <w:cnfStyle w:val="000000100000" w:firstRow="0" w:lastRow="0" w:firstColumn="0" w:lastColumn="0" w:oddVBand="0" w:evenVBand="0" w:oddHBand="1" w:evenHBand="0" w:firstRowFirstColumn="0" w:firstRowLastColumn="0" w:lastRowFirstColumn="0" w:lastRowLastColumn="0"/>
            </w:pPr>
            <w:r w:rsidRPr="00A256B1">
              <w:t>Appel mono</w:t>
            </w:r>
            <w:r w:rsidR="00A256B1">
              <w:t>partenaire</w:t>
            </w:r>
            <w:r w:rsidRPr="00A256B1">
              <w:t xml:space="preserve"> uniquement</w:t>
            </w:r>
          </w:p>
        </w:tc>
        <w:tc>
          <w:tcPr>
            <w:tcW w:w="695" w:type="dxa"/>
          </w:tcPr>
          <w:p w14:paraId="28BA0E25" w14:textId="478EFF6B" w:rsidR="00DE5AB5" w:rsidRPr="00A256B1" w:rsidRDefault="00DE5AB5" w:rsidP="00754CB4">
            <w:pPr>
              <w:tabs>
                <w:tab w:val="left" w:pos="1307"/>
              </w:tabs>
              <w:jc w:val="both"/>
              <w:cnfStyle w:val="000000100000" w:firstRow="0" w:lastRow="0" w:firstColumn="0" w:lastColumn="0" w:oddVBand="0" w:evenVBand="0" w:oddHBand="1" w:evenHBand="0" w:firstRowFirstColumn="0" w:firstRowLastColumn="0" w:lastRowFirstColumn="0" w:lastRowLastColumn="0"/>
            </w:pPr>
            <w:r w:rsidRPr="00A256B1">
              <w:t>6 à 9</w:t>
            </w:r>
          </w:p>
        </w:tc>
        <w:tc>
          <w:tcPr>
            <w:tcW w:w="2282" w:type="dxa"/>
          </w:tcPr>
          <w:p w14:paraId="04BD7225" w14:textId="48F71EA6" w:rsidR="00DE5AB5" w:rsidRPr="00A256B1" w:rsidRDefault="00DE5AB5" w:rsidP="00754CB4">
            <w:pPr>
              <w:tabs>
                <w:tab w:val="left" w:pos="1307"/>
              </w:tabs>
              <w:jc w:val="both"/>
              <w:cnfStyle w:val="000000100000" w:firstRow="0" w:lastRow="0" w:firstColumn="0" w:lastColumn="0" w:oddVBand="0" w:evenVBand="0" w:oddHBand="1" w:evenHBand="0" w:firstRowFirstColumn="0" w:firstRowLastColumn="0" w:lastRowFirstColumn="0" w:lastRowLastColumn="0"/>
            </w:pPr>
            <w:r w:rsidRPr="00A256B1">
              <w:t>Subvention + Equity/</w:t>
            </w:r>
            <w:r w:rsidR="00A256B1">
              <w:t xml:space="preserve">apport au </w:t>
            </w:r>
            <w:r w:rsidRPr="00A256B1">
              <w:t>Capital</w:t>
            </w:r>
          </w:p>
        </w:tc>
        <w:tc>
          <w:tcPr>
            <w:tcW w:w="2268" w:type="dxa"/>
          </w:tcPr>
          <w:p w14:paraId="72D09A9A" w14:textId="212F97A6" w:rsidR="00DE5AB5" w:rsidRPr="00A256B1" w:rsidRDefault="009B2FDE" w:rsidP="00754CB4">
            <w:pPr>
              <w:tabs>
                <w:tab w:val="left" w:pos="1307"/>
              </w:tabs>
              <w:jc w:val="both"/>
              <w:cnfStyle w:val="000000100000" w:firstRow="0" w:lastRow="0" w:firstColumn="0" w:lastColumn="0" w:oddVBand="0" w:evenVBand="0" w:oddHBand="1" w:evenHBand="0" w:firstRowFirstColumn="0" w:firstRowLastColumn="0" w:lastRowFirstColumn="0" w:lastRowLastColumn="0"/>
            </w:pPr>
            <w:r w:rsidRPr="00A256B1">
              <w:t>PME ou start-up uniquement</w:t>
            </w:r>
          </w:p>
        </w:tc>
      </w:tr>
    </w:tbl>
    <w:p w14:paraId="31C2BA45" w14:textId="77777777" w:rsidR="00174DBD" w:rsidRDefault="00174DBD" w:rsidP="00754CB4">
      <w:pPr>
        <w:pBdr>
          <w:top w:val="nil"/>
          <w:left w:val="nil"/>
          <w:bottom w:val="nil"/>
          <w:right w:val="nil"/>
          <w:between w:val="nil"/>
        </w:pBdr>
        <w:tabs>
          <w:tab w:val="left" w:pos="1307"/>
        </w:tabs>
        <w:jc w:val="both"/>
      </w:pPr>
    </w:p>
    <w:p w14:paraId="548C5916" w14:textId="56FEEA7B" w:rsidR="00BA1C88" w:rsidRDefault="00BA1C88" w:rsidP="00754CB4">
      <w:pPr>
        <w:pBdr>
          <w:top w:val="nil"/>
          <w:left w:val="nil"/>
          <w:bottom w:val="nil"/>
          <w:right w:val="nil"/>
          <w:between w:val="nil"/>
        </w:pBdr>
        <w:tabs>
          <w:tab w:val="left" w:pos="1307"/>
        </w:tabs>
        <w:jc w:val="both"/>
      </w:pPr>
      <w:r>
        <w:t xml:space="preserve">L’EIC était testé sous forme de pilote depuis 2018. Son succès a mené la Commission </w:t>
      </w:r>
      <w:r w:rsidR="006B583D">
        <w:t>à</w:t>
      </w:r>
      <w:r>
        <w:t xml:space="preserve"> pérenniser le dispositif dans la nouvelle programmation 2021-2027.</w:t>
      </w:r>
    </w:p>
    <w:p w14:paraId="404622D2" w14:textId="77777777" w:rsidR="00BA1C88" w:rsidRDefault="00BA1C88" w:rsidP="00754CB4">
      <w:pPr>
        <w:pBdr>
          <w:top w:val="nil"/>
          <w:left w:val="nil"/>
          <w:bottom w:val="nil"/>
          <w:right w:val="nil"/>
          <w:between w:val="nil"/>
        </w:pBdr>
        <w:tabs>
          <w:tab w:val="left" w:pos="1307"/>
        </w:tabs>
        <w:jc w:val="both"/>
      </w:pPr>
    </w:p>
    <w:p w14:paraId="423A9412" w14:textId="0C764BA6" w:rsidR="00D646BE" w:rsidRDefault="002173BD" w:rsidP="00D646BE">
      <w:pPr>
        <w:pBdr>
          <w:top w:val="nil"/>
          <w:left w:val="nil"/>
          <w:bottom w:val="nil"/>
          <w:right w:val="nil"/>
          <w:between w:val="nil"/>
        </w:pBdr>
        <w:tabs>
          <w:tab w:val="left" w:pos="1307"/>
        </w:tabs>
        <w:jc w:val="both"/>
      </w:pPr>
      <w:r>
        <w:t xml:space="preserve">Le but </w:t>
      </w:r>
      <w:r w:rsidR="00C025B3">
        <w:t xml:space="preserve">de l’EIC </w:t>
      </w:r>
      <w:r>
        <w:t xml:space="preserve">est de créer un guichet unique pour tous les innovateurs, dans tous les domaines, à tout moment. </w:t>
      </w:r>
    </w:p>
    <w:p w14:paraId="5C00A05C" w14:textId="1F14C0DE" w:rsidR="00C025B3" w:rsidRDefault="00C025B3" w:rsidP="00754CB4">
      <w:pPr>
        <w:pBdr>
          <w:top w:val="nil"/>
          <w:left w:val="nil"/>
          <w:bottom w:val="nil"/>
          <w:right w:val="nil"/>
          <w:between w:val="nil"/>
        </w:pBdr>
        <w:tabs>
          <w:tab w:val="left" w:pos="1307"/>
        </w:tabs>
        <w:jc w:val="both"/>
      </w:pPr>
    </w:p>
    <w:p w14:paraId="589FA175" w14:textId="5368B053" w:rsidR="00C025B3" w:rsidRDefault="00F11833" w:rsidP="00C025B3">
      <w:pPr>
        <w:pBdr>
          <w:top w:val="nil"/>
          <w:left w:val="nil"/>
          <w:bottom w:val="nil"/>
          <w:right w:val="nil"/>
          <w:between w:val="nil"/>
        </w:pBdr>
        <w:tabs>
          <w:tab w:val="left" w:pos="1307"/>
        </w:tabs>
        <w:jc w:val="both"/>
      </w:pPr>
      <w:r>
        <w:t>Cet instrument c</w:t>
      </w:r>
      <w:r w:rsidR="00C025B3">
        <w:t>oncerne</w:t>
      </w:r>
      <w:r w:rsidR="008E1EBA">
        <w:t xml:space="preserve"> principalement</w:t>
      </w:r>
      <w:r w:rsidR="00C025B3">
        <w:t xml:space="preserve"> les </w:t>
      </w:r>
      <w:r w:rsidR="00C025B3" w:rsidRPr="0087250B">
        <w:rPr>
          <w:b/>
          <w:bCs/>
        </w:rPr>
        <w:t>PME et start-ups</w:t>
      </w:r>
      <w:r w:rsidR="00C025B3">
        <w:t xml:space="preserve"> avec des ambitions d’expansion rapide, cherchant à déployer des </w:t>
      </w:r>
      <w:r w:rsidR="00C025B3" w:rsidRPr="00F11833">
        <w:rPr>
          <w:b/>
          <w:bCs/>
        </w:rPr>
        <w:t>innovations à haut risque</w:t>
      </w:r>
      <w:r w:rsidR="00C025B3">
        <w:t xml:space="preserve"> et potentiellement </w:t>
      </w:r>
      <w:r w:rsidR="00C025B3" w:rsidRPr="00F11833">
        <w:rPr>
          <w:b/>
          <w:bCs/>
        </w:rPr>
        <w:t>créatrices de marchés</w:t>
      </w:r>
      <w:r w:rsidR="008E1EBA">
        <w:t xml:space="preserve">, avec 70% du budget de l’EIC réservé </w:t>
      </w:r>
      <w:r w:rsidR="001413B6">
        <w:t>à ces acteurs</w:t>
      </w:r>
      <w:r w:rsidR="008E1EBA">
        <w:t>.</w:t>
      </w:r>
    </w:p>
    <w:p w14:paraId="0A03D50D" w14:textId="015C50B3" w:rsidR="00C025B3" w:rsidRDefault="00C025B3" w:rsidP="00C025B3">
      <w:pPr>
        <w:pBdr>
          <w:top w:val="nil"/>
          <w:left w:val="nil"/>
          <w:bottom w:val="nil"/>
          <w:right w:val="nil"/>
          <w:between w:val="nil"/>
        </w:pBdr>
        <w:tabs>
          <w:tab w:val="left" w:pos="1307"/>
        </w:tabs>
        <w:jc w:val="both"/>
      </w:pPr>
      <w:r>
        <w:t>Le but est ici aussi de financer des innovations qui sont considérées comme « trop risquées » par les investisseurs privés</w:t>
      </w:r>
      <w:r w:rsidR="00F11833">
        <w:t xml:space="preserve"> pour accompagner l’innovation européenne.</w:t>
      </w:r>
    </w:p>
    <w:p w14:paraId="0F8E49F4" w14:textId="77777777" w:rsidR="0087250B" w:rsidRDefault="00F11833" w:rsidP="00F11833">
      <w:pPr>
        <w:pBdr>
          <w:top w:val="nil"/>
          <w:left w:val="nil"/>
          <w:bottom w:val="nil"/>
          <w:right w:val="nil"/>
          <w:between w:val="nil"/>
        </w:pBdr>
        <w:tabs>
          <w:tab w:val="left" w:pos="1307"/>
        </w:tabs>
        <w:jc w:val="both"/>
      </w:pPr>
      <w:r>
        <w:t xml:space="preserve">Tous les domaines scientifiques et technologiques peuvent être couverts. </w:t>
      </w:r>
    </w:p>
    <w:p w14:paraId="077FE07E" w14:textId="77777777" w:rsidR="0087250B" w:rsidRDefault="0087250B" w:rsidP="00F11833">
      <w:pPr>
        <w:pBdr>
          <w:top w:val="nil"/>
          <w:left w:val="nil"/>
          <w:bottom w:val="nil"/>
          <w:right w:val="nil"/>
          <w:between w:val="nil"/>
        </w:pBdr>
        <w:tabs>
          <w:tab w:val="left" w:pos="1307"/>
        </w:tabs>
        <w:jc w:val="both"/>
      </w:pPr>
    </w:p>
    <w:p w14:paraId="0445621D" w14:textId="2CAE7C30" w:rsidR="00F11833" w:rsidRDefault="00F11833" w:rsidP="009252F7">
      <w:pPr>
        <w:pStyle w:val="Paragraphedeliste"/>
        <w:numPr>
          <w:ilvl w:val="0"/>
          <w:numId w:val="16"/>
        </w:numPr>
        <w:pBdr>
          <w:top w:val="nil"/>
          <w:left w:val="nil"/>
          <w:bottom w:val="nil"/>
          <w:right w:val="nil"/>
          <w:between w:val="nil"/>
        </w:pBdr>
        <w:tabs>
          <w:tab w:val="left" w:pos="1307"/>
        </w:tabs>
        <w:jc w:val="both"/>
        <w:rPr>
          <w:b/>
          <w:bCs/>
          <w:u w:val="single"/>
        </w:rPr>
      </w:pPr>
      <w:r w:rsidRPr="00ED5D8E">
        <w:rPr>
          <w:b/>
          <w:bCs/>
          <w:u w:val="single"/>
        </w:rPr>
        <w:t>L’EIC fonctionne grâce à trois instruments :</w:t>
      </w:r>
    </w:p>
    <w:p w14:paraId="3CDEFF26" w14:textId="3C4F4C72" w:rsidR="00ED5D8E" w:rsidRDefault="00ED5D8E" w:rsidP="00ED5D8E">
      <w:pPr>
        <w:pBdr>
          <w:top w:val="nil"/>
          <w:left w:val="nil"/>
          <w:bottom w:val="nil"/>
          <w:right w:val="nil"/>
          <w:between w:val="nil"/>
        </w:pBdr>
        <w:tabs>
          <w:tab w:val="left" w:pos="1307"/>
        </w:tabs>
        <w:jc w:val="both"/>
        <w:rPr>
          <w:b/>
          <w:bCs/>
          <w:u w:val="single"/>
        </w:rPr>
      </w:pPr>
    </w:p>
    <w:p w14:paraId="5BCE47FB" w14:textId="72414F7E" w:rsidR="00ED5D8E" w:rsidRDefault="00ED5D8E" w:rsidP="00ED5D8E">
      <w:pPr>
        <w:pBdr>
          <w:top w:val="nil"/>
          <w:left w:val="nil"/>
          <w:bottom w:val="nil"/>
          <w:right w:val="nil"/>
          <w:between w:val="nil"/>
        </w:pBdr>
        <w:tabs>
          <w:tab w:val="left" w:pos="1307"/>
        </w:tabs>
        <w:jc w:val="both"/>
      </w:pPr>
      <w:r>
        <w:t>Chacun de ces instruments visent à accompagner et à financer des niveaux croissants de TRL (cf. tableau explicatif ci-dessous)</w:t>
      </w:r>
      <w:r w:rsidR="001413B6">
        <w:t xml:space="preserve"> </w:t>
      </w:r>
      <w:r>
        <w:t>:</w:t>
      </w:r>
    </w:p>
    <w:p w14:paraId="49347DFE" w14:textId="77777777" w:rsidR="00ED5D8E" w:rsidRPr="00ED5D8E" w:rsidRDefault="00ED5D8E" w:rsidP="00ED5D8E">
      <w:pPr>
        <w:pBdr>
          <w:top w:val="nil"/>
          <w:left w:val="nil"/>
          <w:bottom w:val="nil"/>
          <w:right w:val="nil"/>
          <w:between w:val="nil"/>
        </w:pBdr>
        <w:tabs>
          <w:tab w:val="left" w:pos="1307"/>
        </w:tabs>
        <w:jc w:val="both"/>
        <w:rPr>
          <w:b/>
          <w:bCs/>
          <w:u w:val="single"/>
        </w:rPr>
      </w:pPr>
    </w:p>
    <w:p w14:paraId="3583E138" w14:textId="0E4E5201" w:rsidR="00ED5D8E" w:rsidRDefault="00F11833" w:rsidP="009252F7">
      <w:pPr>
        <w:pStyle w:val="Paragraphedeliste"/>
        <w:numPr>
          <w:ilvl w:val="1"/>
          <w:numId w:val="8"/>
        </w:numPr>
        <w:pBdr>
          <w:top w:val="nil"/>
          <w:left w:val="nil"/>
          <w:bottom w:val="nil"/>
          <w:right w:val="nil"/>
          <w:between w:val="nil"/>
        </w:pBdr>
        <w:tabs>
          <w:tab w:val="left" w:pos="1307"/>
        </w:tabs>
        <w:jc w:val="both"/>
      </w:pPr>
      <w:r>
        <w:t>L’instrument Eclaireur (« </w:t>
      </w:r>
      <w:r w:rsidR="001413B6" w:rsidRPr="00053AB5">
        <w:rPr>
          <w:i/>
          <w:iCs/>
        </w:rPr>
        <w:t>P</w:t>
      </w:r>
      <w:r w:rsidRPr="00053AB5">
        <w:rPr>
          <w:i/>
          <w:iCs/>
        </w:rPr>
        <w:t>athfinder</w:t>
      </w:r>
      <w:r>
        <w:t> »)</w:t>
      </w:r>
      <w:r w:rsidR="00ED5D8E">
        <w:t xml:space="preserve"> – finance le développement jusqu’au TRL 3-4</w:t>
      </w:r>
    </w:p>
    <w:p w14:paraId="35135326" w14:textId="2DA400D2" w:rsidR="00ED5D8E" w:rsidRDefault="00F11833" w:rsidP="009252F7">
      <w:pPr>
        <w:pStyle w:val="Paragraphedeliste"/>
        <w:numPr>
          <w:ilvl w:val="1"/>
          <w:numId w:val="8"/>
        </w:numPr>
        <w:pBdr>
          <w:top w:val="nil"/>
          <w:left w:val="nil"/>
          <w:bottom w:val="nil"/>
          <w:right w:val="nil"/>
          <w:between w:val="nil"/>
        </w:pBdr>
        <w:tabs>
          <w:tab w:val="left" w:pos="1307"/>
        </w:tabs>
        <w:jc w:val="both"/>
      </w:pPr>
      <w:r>
        <w:t>L’instrument Transition</w:t>
      </w:r>
      <w:r w:rsidR="00ED5D8E">
        <w:t xml:space="preserve"> – jusqu’à TRL 5-6</w:t>
      </w:r>
    </w:p>
    <w:p w14:paraId="35616801" w14:textId="4B2AA52F" w:rsidR="00F11833" w:rsidRDefault="00F11833" w:rsidP="009252F7">
      <w:pPr>
        <w:pStyle w:val="Paragraphedeliste"/>
        <w:numPr>
          <w:ilvl w:val="1"/>
          <w:numId w:val="8"/>
        </w:numPr>
        <w:pBdr>
          <w:top w:val="nil"/>
          <w:left w:val="nil"/>
          <w:bottom w:val="nil"/>
          <w:right w:val="nil"/>
          <w:between w:val="nil"/>
        </w:pBdr>
        <w:tabs>
          <w:tab w:val="left" w:pos="1307"/>
        </w:tabs>
        <w:jc w:val="both"/>
      </w:pPr>
      <w:r>
        <w:t>L’instrument Accélérateur</w:t>
      </w:r>
      <w:r w:rsidR="00ED5D8E">
        <w:t xml:space="preserve"> – jusqu’à TRL 8-9</w:t>
      </w:r>
    </w:p>
    <w:p w14:paraId="428F6D55" w14:textId="77777777" w:rsidR="007C64FC" w:rsidRDefault="007C64FC" w:rsidP="00F11833">
      <w:pPr>
        <w:pBdr>
          <w:top w:val="nil"/>
          <w:left w:val="nil"/>
          <w:bottom w:val="nil"/>
          <w:right w:val="nil"/>
          <w:between w:val="nil"/>
        </w:pBdr>
        <w:tabs>
          <w:tab w:val="left" w:pos="1307"/>
        </w:tabs>
        <w:jc w:val="both"/>
      </w:pPr>
    </w:p>
    <w:p w14:paraId="459A159B" w14:textId="00216848" w:rsidR="007C64FC" w:rsidRDefault="002C241C" w:rsidP="00F11833">
      <w:pPr>
        <w:pBdr>
          <w:top w:val="nil"/>
          <w:left w:val="nil"/>
          <w:bottom w:val="nil"/>
          <w:right w:val="nil"/>
          <w:between w:val="nil"/>
        </w:pBdr>
        <w:tabs>
          <w:tab w:val="left" w:pos="1307"/>
        </w:tabs>
        <w:jc w:val="both"/>
      </w:pPr>
      <w:r>
        <w:t xml:space="preserve">Ces trois instruments fonctionnement de la même manière, </w:t>
      </w:r>
      <w:r w:rsidR="00053AB5">
        <w:t>et sont composés de</w:t>
      </w:r>
      <w:r>
        <w:t xml:space="preserve"> deux volets :</w:t>
      </w:r>
    </w:p>
    <w:p w14:paraId="3CDF5EEE" w14:textId="44CD8217" w:rsidR="002C241C" w:rsidRDefault="002C241C" w:rsidP="009252F7">
      <w:pPr>
        <w:pStyle w:val="Paragraphedeliste"/>
        <w:numPr>
          <w:ilvl w:val="0"/>
          <w:numId w:val="8"/>
        </w:numPr>
        <w:pBdr>
          <w:top w:val="nil"/>
          <w:left w:val="nil"/>
          <w:bottom w:val="nil"/>
          <w:right w:val="nil"/>
          <w:between w:val="nil"/>
        </w:pBdr>
        <w:tabs>
          <w:tab w:val="left" w:pos="1307"/>
        </w:tabs>
        <w:jc w:val="both"/>
      </w:pPr>
      <w:r>
        <w:t>Un volet « </w:t>
      </w:r>
      <w:r w:rsidRPr="007737C8">
        <w:rPr>
          <w:b/>
          <w:bCs/>
        </w:rPr>
        <w:t>Appels ouverts</w:t>
      </w:r>
      <w:r>
        <w:t> »</w:t>
      </w:r>
      <w:r w:rsidR="007D3A5D">
        <w:t xml:space="preserve"> (« </w:t>
      </w:r>
      <w:r w:rsidR="007D3A5D" w:rsidRPr="007D3A5D">
        <w:rPr>
          <w:i/>
          <w:iCs/>
        </w:rPr>
        <w:t>EIC OPEN</w:t>
      </w:r>
      <w:r w:rsidR="007D3A5D">
        <w:t> »)</w:t>
      </w:r>
      <w:r>
        <w:t>, sans sujets définis</w:t>
      </w:r>
      <w:r w:rsidR="007737C8">
        <w:t>, avec donc une approche « </w:t>
      </w:r>
      <w:r w:rsidR="007737C8" w:rsidRPr="007737C8">
        <w:rPr>
          <w:i/>
          <w:iCs/>
        </w:rPr>
        <w:t>bottom up </w:t>
      </w:r>
      <w:r w:rsidR="007737C8">
        <w:t>» c’est-à-dire laissé ouvert aux propositions des porteurs de projets, avec uniquement l’exigence d’un projet d’innovation « de rupture » et à but final d’entrée sur le marché.</w:t>
      </w:r>
    </w:p>
    <w:p w14:paraId="60BC9140" w14:textId="68A31CF4" w:rsidR="002C241C" w:rsidRDefault="002C241C" w:rsidP="009252F7">
      <w:pPr>
        <w:pStyle w:val="Paragraphedeliste"/>
        <w:numPr>
          <w:ilvl w:val="0"/>
          <w:numId w:val="8"/>
        </w:numPr>
        <w:pBdr>
          <w:top w:val="nil"/>
          <w:left w:val="nil"/>
          <w:bottom w:val="nil"/>
          <w:right w:val="nil"/>
          <w:between w:val="nil"/>
        </w:pBdr>
        <w:tabs>
          <w:tab w:val="left" w:pos="1307"/>
        </w:tabs>
        <w:jc w:val="both"/>
      </w:pPr>
      <w:r>
        <w:t>Un volet « </w:t>
      </w:r>
      <w:r w:rsidRPr="007737C8">
        <w:rPr>
          <w:b/>
          <w:bCs/>
        </w:rPr>
        <w:t>Défi</w:t>
      </w:r>
      <w:r w:rsidRPr="00053AB5">
        <w:rPr>
          <w:b/>
          <w:bCs/>
        </w:rPr>
        <w:t>s</w:t>
      </w:r>
      <w:r>
        <w:t> »</w:t>
      </w:r>
      <w:r w:rsidR="007D3A5D" w:rsidRPr="007D3A5D">
        <w:t xml:space="preserve"> </w:t>
      </w:r>
      <w:r w:rsidR="007D3A5D">
        <w:t>(« </w:t>
      </w:r>
      <w:r w:rsidR="007D3A5D" w:rsidRPr="007D3A5D">
        <w:rPr>
          <w:i/>
          <w:iCs/>
        </w:rPr>
        <w:t>EIC Challenges</w:t>
      </w:r>
      <w:r w:rsidR="007D3A5D">
        <w:t> »)</w:t>
      </w:r>
      <w:r>
        <w:t>, avec des sujets et thématiques obligatoires</w:t>
      </w:r>
      <w:r w:rsidR="00A97B43">
        <w:t xml:space="preserve">. </w:t>
      </w:r>
      <w:r w:rsidR="00A97B43" w:rsidRPr="00A97B43">
        <w:t>Ils doivent également s’inscrire dans un projet d’innovation à haut risque et à fort impact. Les thèmes sont renouvelés avec chaque programme de travail (un programme par an).</w:t>
      </w:r>
      <w:r w:rsidR="007D3A5D">
        <w:t xml:space="preserve"> </w:t>
      </w:r>
    </w:p>
    <w:p w14:paraId="637931CC" w14:textId="3B783AF9" w:rsidR="007C64FC" w:rsidRDefault="007C64FC" w:rsidP="00F11833">
      <w:pPr>
        <w:pBdr>
          <w:top w:val="nil"/>
          <w:left w:val="nil"/>
          <w:bottom w:val="nil"/>
          <w:right w:val="nil"/>
          <w:between w:val="nil"/>
        </w:pBdr>
        <w:tabs>
          <w:tab w:val="left" w:pos="1307"/>
        </w:tabs>
        <w:jc w:val="both"/>
      </w:pPr>
    </w:p>
    <w:p w14:paraId="5C314AF6" w14:textId="6DAC97A0" w:rsidR="007C64FC" w:rsidRDefault="007C64FC" w:rsidP="007C64FC">
      <w:pPr>
        <w:pBdr>
          <w:top w:val="nil"/>
          <w:left w:val="nil"/>
          <w:bottom w:val="nil"/>
          <w:right w:val="nil"/>
          <w:between w:val="nil"/>
        </w:pBdr>
        <w:tabs>
          <w:tab w:val="left" w:pos="1307"/>
        </w:tabs>
        <w:jc w:val="both"/>
      </w:pPr>
    </w:p>
    <w:p w14:paraId="7D4B7829" w14:textId="534DACB0" w:rsidR="001413B6" w:rsidRDefault="001413B6" w:rsidP="007C64FC">
      <w:pPr>
        <w:pBdr>
          <w:top w:val="nil"/>
          <w:left w:val="nil"/>
          <w:bottom w:val="nil"/>
          <w:right w:val="nil"/>
          <w:between w:val="nil"/>
        </w:pBdr>
        <w:tabs>
          <w:tab w:val="left" w:pos="1307"/>
        </w:tabs>
        <w:jc w:val="both"/>
      </w:pPr>
    </w:p>
    <w:p w14:paraId="65E6B613" w14:textId="5EE3E472" w:rsidR="001413B6" w:rsidRDefault="001413B6" w:rsidP="007C64FC">
      <w:pPr>
        <w:pBdr>
          <w:top w:val="nil"/>
          <w:left w:val="nil"/>
          <w:bottom w:val="nil"/>
          <w:right w:val="nil"/>
          <w:between w:val="nil"/>
        </w:pBdr>
        <w:tabs>
          <w:tab w:val="left" w:pos="1307"/>
        </w:tabs>
        <w:jc w:val="both"/>
      </w:pPr>
    </w:p>
    <w:p w14:paraId="67BFD8AE" w14:textId="77777777" w:rsidR="001413B6" w:rsidRDefault="001413B6" w:rsidP="007C64FC">
      <w:pPr>
        <w:pBdr>
          <w:top w:val="nil"/>
          <w:left w:val="nil"/>
          <w:bottom w:val="nil"/>
          <w:right w:val="nil"/>
          <w:between w:val="nil"/>
        </w:pBdr>
        <w:tabs>
          <w:tab w:val="left" w:pos="1307"/>
        </w:tabs>
        <w:jc w:val="both"/>
      </w:pPr>
    </w:p>
    <w:p w14:paraId="6A15A51E" w14:textId="77777777" w:rsidR="007C64FC" w:rsidRDefault="007C64FC" w:rsidP="009252F7">
      <w:pPr>
        <w:pStyle w:val="Paragraphedeliste"/>
        <w:numPr>
          <w:ilvl w:val="0"/>
          <w:numId w:val="6"/>
        </w:numPr>
        <w:pBdr>
          <w:top w:val="nil"/>
          <w:left w:val="nil"/>
          <w:bottom w:val="nil"/>
          <w:right w:val="nil"/>
          <w:between w:val="nil"/>
        </w:pBdr>
        <w:tabs>
          <w:tab w:val="left" w:pos="1307"/>
        </w:tabs>
        <w:jc w:val="both"/>
      </w:pPr>
      <w:r w:rsidRPr="004F46ED">
        <w:rPr>
          <w:b/>
          <w:bCs/>
          <w:i/>
          <w:iCs/>
          <w:color w:val="8064A2" w:themeColor="accent4"/>
        </w:rPr>
        <w:t>Echelle de TRL</w:t>
      </w:r>
    </w:p>
    <w:p w14:paraId="15254F8D" w14:textId="77777777" w:rsidR="007C64FC" w:rsidRDefault="007C64FC" w:rsidP="00F11833">
      <w:pPr>
        <w:pBdr>
          <w:top w:val="nil"/>
          <w:left w:val="nil"/>
          <w:bottom w:val="nil"/>
          <w:right w:val="nil"/>
          <w:between w:val="nil"/>
        </w:pBdr>
        <w:tabs>
          <w:tab w:val="left" w:pos="1307"/>
        </w:tabs>
        <w:jc w:val="both"/>
      </w:pPr>
    </w:p>
    <w:p w14:paraId="06E34412" w14:textId="0C020C2F" w:rsidR="00F11833" w:rsidRDefault="007C64FC" w:rsidP="00F11833">
      <w:pPr>
        <w:pBdr>
          <w:top w:val="nil"/>
          <w:left w:val="nil"/>
          <w:bottom w:val="nil"/>
          <w:right w:val="nil"/>
          <w:between w:val="nil"/>
        </w:pBdr>
        <w:tabs>
          <w:tab w:val="left" w:pos="1307"/>
        </w:tabs>
        <w:jc w:val="both"/>
      </w:pPr>
      <w:r>
        <w:rPr>
          <w:noProof/>
        </w:rPr>
        <w:drawing>
          <wp:inline distT="0" distB="0" distL="0" distR="0" wp14:anchorId="37B4C7B1" wp14:editId="65971EDA">
            <wp:extent cx="4572000" cy="4357447"/>
            <wp:effectExtent l="0" t="0" r="0" b="508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2">
                      <a:extLst>
                        <a:ext uri="{28A0092B-C50C-407E-A947-70E740481C1C}">
                          <a14:useLocalDpi xmlns:a14="http://schemas.microsoft.com/office/drawing/2010/main" val="0"/>
                        </a:ext>
                      </a:extLst>
                    </a:blip>
                    <a:stretch>
                      <a:fillRect/>
                    </a:stretch>
                  </pic:blipFill>
                  <pic:spPr>
                    <a:xfrm>
                      <a:off x="0" y="0"/>
                      <a:ext cx="4582870" cy="4367807"/>
                    </a:xfrm>
                    <a:prstGeom prst="rect">
                      <a:avLst/>
                    </a:prstGeom>
                  </pic:spPr>
                </pic:pic>
              </a:graphicData>
            </a:graphic>
          </wp:inline>
        </w:drawing>
      </w:r>
    </w:p>
    <w:p w14:paraId="0B4E797F" w14:textId="4E9CCA47" w:rsidR="007C64FC" w:rsidRPr="00452274" w:rsidRDefault="007C64FC" w:rsidP="00F11833">
      <w:pPr>
        <w:pBdr>
          <w:top w:val="nil"/>
          <w:left w:val="nil"/>
          <w:bottom w:val="nil"/>
          <w:right w:val="nil"/>
          <w:between w:val="nil"/>
        </w:pBdr>
        <w:tabs>
          <w:tab w:val="left" w:pos="1307"/>
        </w:tabs>
        <w:jc w:val="both"/>
        <w:rPr>
          <w:i/>
          <w:iCs/>
        </w:rPr>
      </w:pPr>
      <w:r>
        <w:rPr>
          <w:i/>
          <w:iCs/>
          <w:sz w:val="20"/>
          <w:szCs w:val="20"/>
        </w:rPr>
        <w:t xml:space="preserve">                </w:t>
      </w:r>
      <w:r w:rsidRPr="00C70BAB">
        <w:rPr>
          <w:i/>
          <w:iCs/>
          <w:sz w:val="20"/>
          <w:szCs w:val="20"/>
        </w:rPr>
        <w:t>Source : https://www.lescahiersdelinnovation.com/</w:t>
      </w:r>
    </w:p>
    <w:p w14:paraId="46ED12CF" w14:textId="0FF75D81" w:rsidR="00790BB9" w:rsidRDefault="00790BB9" w:rsidP="00754CB4">
      <w:pPr>
        <w:pBdr>
          <w:top w:val="nil"/>
          <w:left w:val="nil"/>
          <w:bottom w:val="nil"/>
          <w:right w:val="nil"/>
          <w:between w:val="nil"/>
        </w:pBdr>
        <w:tabs>
          <w:tab w:val="left" w:pos="1307"/>
        </w:tabs>
        <w:jc w:val="both"/>
      </w:pPr>
    </w:p>
    <w:p w14:paraId="2F52F32F" w14:textId="1B049183" w:rsidR="00772246" w:rsidRDefault="00772246" w:rsidP="00772246">
      <w:pPr>
        <w:rPr>
          <w:rStyle w:val="Titre1Car"/>
        </w:rPr>
      </w:pPr>
    </w:p>
    <w:p w14:paraId="194F0A4F" w14:textId="4866EA3E" w:rsidR="007737C8" w:rsidRDefault="007737C8" w:rsidP="00772246">
      <w:pPr>
        <w:rPr>
          <w:rStyle w:val="Titre1Car"/>
        </w:rPr>
      </w:pPr>
      <w:r>
        <w:rPr>
          <w:rStyle w:val="Titre1Car"/>
        </w:rPr>
        <w:t xml:space="preserve">Les trois instruments de l’EIC </w:t>
      </w:r>
    </w:p>
    <w:p w14:paraId="24FA8CC7" w14:textId="77777777" w:rsidR="007737C8" w:rsidRDefault="007737C8" w:rsidP="00772246">
      <w:pPr>
        <w:rPr>
          <w:rStyle w:val="Titre1Car"/>
        </w:rPr>
      </w:pPr>
    </w:p>
    <w:p w14:paraId="55956BB1" w14:textId="4BA90C8A" w:rsidR="00A80497" w:rsidRPr="00B23F50" w:rsidRDefault="00A80497" w:rsidP="009252F7">
      <w:pPr>
        <w:pStyle w:val="Paragraphedeliste"/>
        <w:numPr>
          <w:ilvl w:val="0"/>
          <w:numId w:val="15"/>
        </w:numPr>
        <w:rPr>
          <w:b/>
          <w:bCs/>
          <w:color w:val="403152" w:themeColor="accent4" w:themeShade="80"/>
          <w:u w:val="single"/>
        </w:rPr>
      </w:pPr>
      <w:r w:rsidRPr="00B23F50">
        <w:rPr>
          <w:b/>
          <w:bCs/>
          <w:color w:val="403152" w:themeColor="accent4" w:themeShade="80"/>
          <w:u w:val="single"/>
        </w:rPr>
        <w:t>Instrument Eclaireur</w:t>
      </w:r>
    </w:p>
    <w:p w14:paraId="2B207506" w14:textId="77777777" w:rsidR="00A80497" w:rsidRDefault="00A80497" w:rsidP="00F70A92">
      <w:pPr>
        <w:pBdr>
          <w:top w:val="nil"/>
          <w:left w:val="nil"/>
          <w:bottom w:val="nil"/>
          <w:right w:val="nil"/>
          <w:between w:val="nil"/>
        </w:pBdr>
        <w:tabs>
          <w:tab w:val="left" w:pos="1307"/>
        </w:tabs>
        <w:jc w:val="both"/>
      </w:pPr>
    </w:p>
    <w:p w14:paraId="02AA7B49" w14:textId="6E5CBAE7" w:rsidR="00EA6E3D" w:rsidRDefault="00772246" w:rsidP="00F70A92">
      <w:pPr>
        <w:pBdr>
          <w:top w:val="nil"/>
          <w:left w:val="nil"/>
          <w:bottom w:val="nil"/>
          <w:right w:val="nil"/>
          <w:between w:val="nil"/>
        </w:pBdr>
        <w:tabs>
          <w:tab w:val="left" w:pos="1307"/>
        </w:tabs>
        <w:jc w:val="both"/>
      </w:pPr>
      <w:r>
        <w:t>Cet instrument f</w:t>
      </w:r>
      <w:r w:rsidR="00790BB9">
        <w:t xml:space="preserve">inance la recherche afin de développer une base scientifique susceptible d’aboutir à </w:t>
      </w:r>
      <w:r w:rsidR="00790BB9" w:rsidRPr="00F70A92">
        <w:rPr>
          <w:b/>
          <w:bCs/>
        </w:rPr>
        <w:t>des innovations de rupture</w:t>
      </w:r>
      <w:r w:rsidR="00EA6E3D">
        <w:t>.</w:t>
      </w:r>
      <w:r w:rsidR="00F70A92">
        <w:t xml:space="preserve"> Il ne suffit donc pas simplement d’être innovant dans sa zone géographique ou d’apporter une amélioration à la marge, mais bien de viser une innovation conséquente. Cet instrument cherche à financer des</w:t>
      </w:r>
      <w:r w:rsidR="00EA6E3D">
        <w:t xml:space="preserve"> projet</w:t>
      </w:r>
      <w:r w:rsidR="00F70A92">
        <w:t>s</w:t>
      </w:r>
      <w:r w:rsidR="00EA6E3D">
        <w:t xml:space="preserve"> </w:t>
      </w:r>
      <w:r w:rsidR="00F70A92">
        <w:t xml:space="preserve">aboutissant à </w:t>
      </w:r>
      <w:r w:rsidR="00694874">
        <w:t>une TRL</w:t>
      </w:r>
      <w:r w:rsidR="00EA6E3D">
        <w:t xml:space="preserve"> 4 maximum.</w:t>
      </w:r>
    </w:p>
    <w:p w14:paraId="212E0EC8" w14:textId="7EF9DD41" w:rsidR="00700C2E" w:rsidRDefault="00700C2E" w:rsidP="00F70A92">
      <w:pPr>
        <w:pBdr>
          <w:top w:val="nil"/>
          <w:left w:val="nil"/>
          <w:bottom w:val="nil"/>
          <w:right w:val="nil"/>
          <w:between w:val="nil"/>
        </w:pBdr>
        <w:tabs>
          <w:tab w:val="left" w:pos="1307"/>
        </w:tabs>
        <w:jc w:val="both"/>
      </w:pPr>
    </w:p>
    <w:p w14:paraId="74F07271" w14:textId="7008F4E9" w:rsidR="00D01762" w:rsidRDefault="00700C2E" w:rsidP="00754CB4">
      <w:pPr>
        <w:pBdr>
          <w:top w:val="nil"/>
          <w:left w:val="nil"/>
          <w:bottom w:val="nil"/>
          <w:right w:val="nil"/>
          <w:between w:val="nil"/>
        </w:pBdr>
        <w:tabs>
          <w:tab w:val="left" w:pos="1307"/>
        </w:tabs>
        <w:jc w:val="both"/>
      </w:pPr>
      <w:r>
        <w:t>Il est divisé en deux branches : les appels ouverts, et les défis.</w:t>
      </w:r>
    </w:p>
    <w:p w14:paraId="48BBE5D2" w14:textId="33F64B97" w:rsidR="00595678" w:rsidRPr="00B23F50" w:rsidRDefault="009270B2" w:rsidP="00452274">
      <w:pPr>
        <w:pStyle w:val="EnvTitreparagraphe"/>
      </w:pPr>
      <w:r w:rsidRPr="00B23F50">
        <w:t xml:space="preserve">Eclaireur - </w:t>
      </w:r>
      <w:r w:rsidR="00EA6E3D" w:rsidRPr="00B23F50">
        <w:t>Appel ouvert :</w:t>
      </w:r>
    </w:p>
    <w:p w14:paraId="691AAD8B" w14:textId="574B6DDC" w:rsidR="00EA6E3D" w:rsidRDefault="00844FB9" w:rsidP="00754CB4">
      <w:pPr>
        <w:pBdr>
          <w:top w:val="nil"/>
          <w:left w:val="nil"/>
          <w:bottom w:val="nil"/>
          <w:right w:val="nil"/>
          <w:between w:val="nil"/>
        </w:pBdr>
        <w:tabs>
          <w:tab w:val="left" w:pos="1307"/>
        </w:tabs>
        <w:jc w:val="both"/>
      </w:pPr>
      <w:r>
        <w:t>Les appels ouverts v</w:t>
      </w:r>
      <w:r w:rsidR="00EA6E3D">
        <w:t>ise</w:t>
      </w:r>
      <w:r w:rsidR="001413B6">
        <w:t>nt</w:t>
      </w:r>
      <w:r w:rsidR="00EA6E3D">
        <w:t xml:space="preserve"> la recherche collaborative et inter</w:t>
      </w:r>
      <w:r w:rsidR="008D4BE7">
        <w:t>d</w:t>
      </w:r>
      <w:r w:rsidR="00EA6E3D">
        <w:t>isciplinaire, notamment :</w:t>
      </w:r>
    </w:p>
    <w:p w14:paraId="50B46525" w14:textId="56B4336C" w:rsidR="00EA6E3D" w:rsidRDefault="00EA6E3D" w:rsidP="009252F7">
      <w:pPr>
        <w:pStyle w:val="Paragraphedeliste"/>
        <w:numPr>
          <w:ilvl w:val="0"/>
          <w:numId w:val="8"/>
        </w:numPr>
        <w:pBdr>
          <w:top w:val="nil"/>
          <w:left w:val="nil"/>
          <w:bottom w:val="nil"/>
          <w:right w:val="nil"/>
          <w:between w:val="nil"/>
        </w:pBdr>
        <w:tabs>
          <w:tab w:val="left" w:pos="1307"/>
        </w:tabs>
        <w:jc w:val="both"/>
      </w:pPr>
      <w:r>
        <w:t xml:space="preserve">Une vision </w:t>
      </w:r>
      <w:r w:rsidRPr="00700C2E">
        <w:rPr>
          <w:b/>
          <w:bCs/>
        </w:rPr>
        <w:t>à long terme</w:t>
      </w:r>
      <w:r w:rsidR="00700C2E">
        <w:t xml:space="preserve"> (</w:t>
      </w:r>
      <w:r>
        <w:t xml:space="preserve">une technologie de rupture qui </w:t>
      </w:r>
      <w:r w:rsidR="001413B6">
        <w:t>a</w:t>
      </w:r>
      <w:r>
        <w:t xml:space="preserve"> la potentiel de transformer positivement l’économie et la société</w:t>
      </w:r>
      <w:r w:rsidR="00700C2E">
        <w:t>)</w:t>
      </w:r>
    </w:p>
    <w:p w14:paraId="6DFAF285" w14:textId="088926C4" w:rsidR="00700C2E" w:rsidRDefault="00EA6E3D" w:rsidP="009252F7">
      <w:pPr>
        <w:pStyle w:val="Paragraphedeliste"/>
        <w:numPr>
          <w:ilvl w:val="0"/>
          <w:numId w:val="8"/>
        </w:numPr>
      </w:pPr>
      <w:r>
        <w:t xml:space="preserve">Des innovations </w:t>
      </w:r>
      <w:r w:rsidRPr="00700C2E">
        <w:rPr>
          <w:b/>
          <w:bCs/>
        </w:rPr>
        <w:t>concrètes</w:t>
      </w:r>
      <w:r>
        <w:t xml:space="preserve">, </w:t>
      </w:r>
      <w:r w:rsidR="00700C2E" w:rsidRPr="00700C2E">
        <w:t>avec des objectifs à la fois</w:t>
      </w:r>
      <w:r w:rsidR="00812F86">
        <w:t xml:space="preserve"> clairs</w:t>
      </w:r>
      <w:r w:rsidR="00700C2E" w:rsidRPr="00700C2E">
        <w:t xml:space="preserve"> et plausibles</w:t>
      </w:r>
    </w:p>
    <w:p w14:paraId="0B4E6BFF" w14:textId="0670943E" w:rsidR="00700C2E" w:rsidRPr="00700C2E" w:rsidRDefault="00EA6E3D" w:rsidP="009252F7">
      <w:pPr>
        <w:pStyle w:val="Paragraphedeliste"/>
        <w:numPr>
          <w:ilvl w:val="0"/>
          <w:numId w:val="8"/>
        </w:numPr>
      </w:pPr>
      <w:r>
        <w:t xml:space="preserve">L’innovation doit être </w:t>
      </w:r>
      <w:r w:rsidRPr="00700C2E">
        <w:rPr>
          <w:b/>
          <w:bCs/>
        </w:rPr>
        <w:t>à haut risque</w:t>
      </w:r>
      <w:r>
        <w:t xml:space="preserve">, </w:t>
      </w:r>
      <w:r w:rsidR="00700C2E" w:rsidRPr="00700C2E">
        <w:t>nouvelle et ambitieuse</w:t>
      </w:r>
    </w:p>
    <w:p w14:paraId="1BB5938B" w14:textId="270DFA8D" w:rsidR="00EA6E3D" w:rsidRDefault="00EA6E3D" w:rsidP="009252F7">
      <w:pPr>
        <w:pStyle w:val="Paragraphedeliste"/>
        <w:numPr>
          <w:ilvl w:val="0"/>
          <w:numId w:val="10"/>
        </w:numPr>
        <w:pBdr>
          <w:top w:val="nil"/>
          <w:left w:val="nil"/>
          <w:bottom w:val="nil"/>
          <w:right w:val="nil"/>
          <w:between w:val="nil"/>
        </w:pBdr>
        <w:tabs>
          <w:tab w:val="left" w:pos="1307"/>
        </w:tabs>
        <w:jc w:val="both"/>
      </w:pPr>
      <w:r>
        <w:t>Ces trois points sont obligatoires pour pouvoir être financés</w:t>
      </w:r>
    </w:p>
    <w:p w14:paraId="7147412A" w14:textId="3EF941FA" w:rsidR="00EA6E3D" w:rsidRDefault="00EA6E3D" w:rsidP="00754CB4">
      <w:pPr>
        <w:pBdr>
          <w:top w:val="nil"/>
          <w:left w:val="nil"/>
          <w:bottom w:val="nil"/>
          <w:right w:val="nil"/>
          <w:between w:val="nil"/>
        </w:pBdr>
        <w:tabs>
          <w:tab w:val="left" w:pos="1307"/>
        </w:tabs>
        <w:jc w:val="both"/>
      </w:pPr>
    </w:p>
    <w:p w14:paraId="7B64E723" w14:textId="07395978" w:rsidR="00EA6E3D" w:rsidRDefault="00EA6E3D" w:rsidP="00754CB4">
      <w:pPr>
        <w:pBdr>
          <w:top w:val="nil"/>
          <w:left w:val="nil"/>
          <w:bottom w:val="nil"/>
          <w:right w:val="nil"/>
          <w:between w:val="nil"/>
        </w:pBdr>
        <w:tabs>
          <w:tab w:val="left" w:pos="1307"/>
        </w:tabs>
        <w:jc w:val="both"/>
      </w:pPr>
      <w:r>
        <w:lastRenderedPageBreak/>
        <w:t xml:space="preserve">Un premier appel </w:t>
      </w:r>
      <w:r w:rsidR="00844FB9">
        <w:t>a</w:t>
      </w:r>
      <w:r>
        <w:t xml:space="preserve"> été clôturé le 25 mai 2021, avec un taux de succès d’environ 6% (la France est le 4</w:t>
      </w:r>
      <w:r w:rsidRPr="00EA6E3D">
        <w:rPr>
          <w:vertAlign w:val="superscript"/>
        </w:rPr>
        <w:t>e</w:t>
      </w:r>
      <w:r>
        <w:t xml:space="preserve"> pays ayant le plus de projets financés, pour 53 millions</w:t>
      </w:r>
      <w:r w:rsidR="00844FB9">
        <w:t xml:space="preserve"> de subvention versées</w:t>
      </w:r>
      <w:r>
        <w:t xml:space="preserve"> pour les PME, 200 millions pour les non PME).</w:t>
      </w:r>
    </w:p>
    <w:p w14:paraId="69E91FA9" w14:textId="2F709374" w:rsidR="00EA6E3D" w:rsidRDefault="00EA6E3D" w:rsidP="00754CB4">
      <w:pPr>
        <w:pBdr>
          <w:top w:val="nil"/>
          <w:left w:val="nil"/>
          <w:bottom w:val="nil"/>
          <w:right w:val="nil"/>
          <w:between w:val="nil"/>
        </w:pBdr>
        <w:tabs>
          <w:tab w:val="left" w:pos="1307"/>
        </w:tabs>
        <w:jc w:val="both"/>
      </w:pPr>
    </w:p>
    <w:p w14:paraId="0CD582B0" w14:textId="65DD9B85" w:rsidR="00EA6E3D" w:rsidRDefault="00EA6E3D" w:rsidP="00754CB4">
      <w:pPr>
        <w:pBdr>
          <w:top w:val="nil"/>
          <w:left w:val="nil"/>
          <w:bottom w:val="nil"/>
          <w:right w:val="nil"/>
          <w:between w:val="nil"/>
        </w:pBdr>
        <w:tabs>
          <w:tab w:val="left" w:pos="1307"/>
        </w:tabs>
        <w:jc w:val="both"/>
      </w:pPr>
      <w:r>
        <w:t xml:space="preserve">Pour plus d’information voir le </w:t>
      </w:r>
      <w:hyperlink r:id="rId13" w:history="1">
        <w:r w:rsidRPr="003032ED">
          <w:rPr>
            <w:rStyle w:val="Lienhypertexte"/>
          </w:rPr>
          <w:t>Programme de travail</w:t>
        </w:r>
      </w:hyperlink>
      <w:r w:rsidR="008D4BE7">
        <w:t xml:space="preserve"> annexe 7, et</w:t>
      </w:r>
      <w:r w:rsidR="003032ED">
        <w:t xml:space="preserve"> le</w:t>
      </w:r>
      <w:r w:rsidR="008D4BE7">
        <w:t xml:space="preserve"> </w:t>
      </w:r>
      <w:hyperlink r:id="rId14" w:history="1">
        <w:r w:rsidR="008D4BE7" w:rsidRPr="003032ED">
          <w:rPr>
            <w:rStyle w:val="Lienhypertexte"/>
          </w:rPr>
          <w:t>Model Grant Agreement</w:t>
        </w:r>
      </w:hyperlink>
      <w:r w:rsidR="008D4BE7">
        <w:t xml:space="preserve"> annexe 5</w:t>
      </w:r>
      <w:r w:rsidR="00693C61">
        <w:t>.</w:t>
      </w:r>
    </w:p>
    <w:p w14:paraId="055F65F6" w14:textId="37D7400C" w:rsidR="008D4BE7" w:rsidRDefault="008D4BE7" w:rsidP="00754CB4">
      <w:pPr>
        <w:pBdr>
          <w:top w:val="nil"/>
          <w:left w:val="nil"/>
          <w:bottom w:val="nil"/>
          <w:right w:val="nil"/>
          <w:between w:val="nil"/>
        </w:pBdr>
        <w:tabs>
          <w:tab w:val="left" w:pos="1307"/>
        </w:tabs>
        <w:jc w:val="both"/>
      </w:pPr>
    </w:p>
    <w:p w14:paraId="11FB397A" w14:textId="72C5227B" w:rsidR="008D4BE7" w:rsidRDefault="008D4BE7" w:rsidP="00D01762">
      <w:pPr>
        <w:pBdr>
          <w:top w:val="nil"/>
          <w:left w:val="nil"/>
          <w:bottom w:val="nil"/>
          <w:right w:val="nil"/>
          <w:between w:val="nil"/>
        </w:pBdr>
        <w:tabs>
          <w:tab w:val="left" w:pos="1307"/>
        </w:tabs>
        <w:jc w:val="both"/>
      </w:pPr>
      <w:r w:rsidRPr="00844FB9">
        <w:rPr>
          <w:u w:val="single"/>
        </w:rPr>
        <w:t>Nouveauté 2021-2027</w:t>
      </w:r>
      <w:r>
        <w:t> : des fonds supplémentaires pourront être attribués pour des acteurs non prévus au moment de la soumission du projet</w:t>
      </w:r>
      <w:r w:rsidR="00DA6DFC">
        <w:t xml:space="preserve">. </w:t>
      </w:r>
      <w:r w:rsidR="00D01762">
        <w:t xml:space="preserve">Ces </w:t>
      </w:r>
      <w:r w:rsidRPr="00DA6DFC">
        <w:rPr>
          <w:b/>
          <w:bCs/>
        </w:rPr>
        <w:t>Subventions ad hoc</w:t>
      </w:r>
      <w:r>
        <w:t xml:space="preserve"> d’un montant de 50 000 € (jusqu’à 3 par projet) </w:t>
      </w:r>
      <w:r w:rsidR="00D01762">
        <w:t>permettront de faire face à la réalité du terrain et à rester flexible face aux découvertes réalisées dans le cadre du projet (découverte d’un acteur prometteur, d’une technologie intéressante, etc.) Ces subvention</w:t>
      </w:r>
      <w:r w:rsidR="001413B6">
        <w:t>s</w:t>
      </w:r>
      <w:r w:rsidR="00D01762">
        <w:t xml:space="preserve"> pourront notamment être utilisées pour e</w:t>
      </w:r>
      <w:r>
        <w:t>xplorer des marchés prometteurs</w:t>
      </w:r>
      <w:r w:rsidR="00D01762">
        <w:t>, ou p</w:t>
      </w:r>
      <w:r>
        <w:t>articiper à des activités communes</w:t>
      </w:r>
      <w:r w:rsidR="00D01762">
        <w:t>.</w:t>
      </w:r>
    </w:p>
    <w:p w14:paraId="5FB1EF27" w14:textId="73AA6EC8" w:rsidR="00EA6E3D" w:rsidRDefault="00EA6E3D" w:rsidP="00754CB4">
      <w:pPr>
        <w:pBdr>
          <w:top w:val="nil"/>
          <w:left w:val="nil"/>
          <w:bottom w:val="nil"/>
          <w:right w:val="nil"/>
          <w:between w:val="nil"/>
        </w:pBdr>
        <w:tabs>
          <w:tab w:val="left" w:pos="1307"/>
        </w:tabs>
        <w:jc w:val="both"/>
      </w:pPr>
    </w:p>
    <w:p w14:paraId="2E0B3234" w14:textId="2F353B1E" w:rsidR="008D4BE7" w:rsidRDefault="00844FB9" w:rsidP="00754CB4">
      <w:pPr>
        <w:pBdr>
          <w:top w:val="nil"/>
          <w:left w:val="nil"/>
          <w:bottom w:val="nil"/>
          <w:right w:val="nil"/>
          <w:between w:val="nil"/>
        </w:pBdr>
        <w:tabs>
          <w:tab w:val="left" w:pos="1307"/>
        </w:tabs>
        <w:jc w:val="both"/>
      </w:pPr>
      <w:r>
        <w:t xml:space="preserve">Si un porteur de projet obtient un financement pour son </w:t>
      </w:r>
      <w:r w:rsidR="008D4BE7">
        <w:t>projets Eclaireurs</w:t>
      </w:r>
      <w:r>
        <w:t>, cela lui donner</w:t>
      </w:r>
      <w:r w:rsidR="00053AB5">
        <w:t>a</w:t>
      </w:r>
      <w:r>
        <w:t xml:space="preserve"> accès à plusieurs dispositifs d’accompagnement en plus de la subvention, avec notamment un accès :</w:t>
      </w:r>
    </w:p>
    <w:p w14:paraId="6C68D77B" w14:textId="6EEF70BE" w:rsidR="008D4BE7" w:rsidRDefault="001413B6" w:rsidP="009252F7">
      <w:pPr>
        <w:pStyle w:val="Paragraphedeliste"/>
        <w:numPr>
          <w:ilvl w:val="0"/>
          <w:numId w:val="8"/>
        </w:numPr>
        <w:pBdr>
          <w:top w:val="nil"/>
          <w:left w:val="nil"/>
          <w:bottom w:val="nil"/>
          <w:right w:val="nil"/>
          <w:between w:val="nil"/>
        </w:pBdr>
        <w:tabs>
          <w:tab w:val="left" w:pos="1307"/>
        </w:tabs>
        <w:jc w:val="both"/>
      </w:pPr>
      <w:r>
        <w:t>A</w:t>
      </w:r>
      <w:r w:rsidR="008D4BE7">
        <w:t>u programme « Transition » pour transformer les résultats de recherche en opportunités d’innovation</w:t>
      </w:r>
      <w:r w:rsidR="00844FB9">
        <w:t xml:space="preserve"> (cf. section suivante)</w:t>
      </w:r>
    </w:p>
    <w:p w14:paraId="55242CCF" w14:textId="6A9B7DF6" w:rsidR="00E67B32" w:rsidRDefault="008D4BE7" w:rsidP="009252F7">
      <w:pPr>
        <w:pStyle w:val="Paragraphedeliste"/>
        <w:numPr>
          <w:ilvl w:val="0"/>
          <w:numId w:val="8"/>
        </w:numPr>
        <w:pBdr>
          <w:top w:val="nil"/>
          <w:left w:val="nil"/>
          <w:bottom w:val="nil"/>
          <w:right w:val="nil"/>
          <w:between w:val="nil"/>
        </w:pBdr>
        <w:tabs>
          <w:tab w:val="left" w:pos="1307"/>
        </w:tabs>
        <w:jc w:val="both"/>
      </w:pPr>
      <w:r>
        <w:t>A la participation au programme « Fast Track » de l’</w:t>
      </w:r>
      <w:r w:rsidR="00E67B32">
        <w:t>instrument</w:t>
      </w:r>
      <w:r>
        <w:t xml:space="preserve"> Accélérateur</w:t>
      </w:r>
    </w:p>
    <w:p w14:paraId="26870A92" w14:textId="3DB10167" w:rsidR="00E67B32" w:rsidRPr="00B23F50" w:rsidRDefault="00E67B32" w:rsidP="00595678">
      <w:pPr>
        <w:pStyle w:val="EnvTitreparagraphe"/>
      </w:pPr>
      <w:r w:rsidRPr="00B23F50">
        <w:t xml:space="preserve">Eclaireur </w:t>
      </w:r>
      <w:r w:rsidR="009270B2" w:rsidRPr="00B23F50">
        <w:t>- D</w:t>
      </w:r>
      <w:r w:rsidRPr="00B23F50">
        <w:t>éfis :</w:t>
      </w:r>
    </w:p>
    <w:p w14:paraId="15D54CF3" w14:textId="5F4BE2B1" w:rsidR="00E67B32" w:rsidRDefault="00E67B32" w:rsidP="00E67B32">
      <w:pPr>
        <w:pBdr>
          <w:top w:val="nil"/>
          <w:left w:val="nil"/>
          <w:bottom w:val="nil"/>
          <w:right w:val="nil"/>
          <w:between w:val="nil"/>
        </w:pBdr>
        <w:tabs>
          <w:tab w:val="left" w:pos="1307"/>
        </w:tabs>
        <w:jc w:val="both"/>
      </w:pPr>
      <w:r>
        <w:t xml:space="preserve">Pour 2021, cinq thèmes sont prévus, dont un thème lié à un objectif environnemental : </w:t>
      </w:r>
      <w:r w:rsidRPr="00E67B32">
        <w:rPr>
          <w:b/>
          <w:bCs/>
        </w:rPr>
        <w:t>la production d’hydrogène vert</w:t>
      </w:r>
      <w:r w:rsidR="00F7444B">
        <w:t>.</w:t>
      </w:r>
    </w:p>
    <w:p w14:paraId="349CE0A7" w14:textId="7A18ABCC" w:rsidR="00D27393" w:rsidRDefault="00D27393" w:rsidP="00E67B32">
      <w:pPr>
        <w:pBdr>
          <w:top w:val="nil"/>
          <w:left w:val="nil"/>
          <w:bottom w:val="nil"/>
          <w:right w:val="nil"/>
          <w:between w:val="nil"/>
        </w:pBdr>
        <w:tabs>
          <w:tab w:val="left" w:pos="1307"/>
        </w:tabs>
        <w:jc w:val="both"/>
      </w:pPr>
    </w:p>
    <w:p w14:paraId="1F83B92E" w14:textId="147F7140" w:rsidR="00D27393" w:rsidRDefault="00D27393" w:rsidP="00E67B32">
      <w:pPr>
        <w:pBdr>
          <w:top w:val="nil"/>
          <w:left w:val="nil"/>
          <w:bottom w:val="nil"/>
          <w:right w:val="nil"/>
          <w:between w:val="nil"/>
        </w:pBdr>
        <w:tabs>
          <w:tab w:val="left" w:pos="1307"/>
        </w:tabs>
        <w:jc w:val="both"/>
      </w:pPr>
      <w:r>
        <w:t xml:space="preserve">Chaque défi possède un « Guide des défis » propre, qui </w:t>
      </w:r>
      <w:r w:rsidR="001413B6">
        <w:t>fournit</w:t>
      </w:r>
      <w:r>
        <w:t xml:space="preserve"> des informations plus détaillées sur chaque objectif spécifique, par exemple :</w:t>
      </w:r>
    </w:p>
    <w:p w14:paraId="1EA22F4E" w14:textId="0E17CE9B" w:rsidR="00D27393" w:rsidRDefault="00D27393" w:rsidP="009252F7">
      <w:pPr>
        <w:pStyle w:val="Paragraphedeliste"/>
        <w:numPr>
          <w:ilvl w:val="0"/>
          <w:numId w:val="8"/>
        </w:numPr>
        <w:pBdr>
          <w:top w:val="nil"/>
          <w:left w:val="nil"/>
          <w:bottom w:val="nil"/>
          <w:right w:val="nil"/>
          <w:between w:val="nil"/>
        </w:pBdr>
        <w:tabs>
          <w:tab w:val="left" w:pos="1307"/>
        </w:tabs>
        <w:jc w:val="both"/>
      </w:pPr>
      <w:r>
        <w:t>Une évaluation détaillée des technologies de point</w:t>
      </w:r>
      <w:r w:rsidR="008E3E40">
        <w:t>es</w:t>
      </w:r>
      <w:r>
        <w:t xml:space="preserve"> et des projets existants dans la technologie du défi (état de l’art)</w:t>
      </w:r>
    </w:p>
    <w:p w14:paraId="5AE17425" w14:textId="27AAE788" w:rsidR="00D27393" w:rsidRDefault="00D27393" w:rsidP="009252F7">
      <w:pPr>
        <w:pStyle w:val="Paragraphedeliste"/>
        <w:numPr>
          <w:ilvl w:val="0"/>
          <w:numId w:val="8"/>
        </w:numPr>
        <w:pBdr>
          <w:top w:val="nil"/>
          <w:left w:val="nil"/>
          <w:bottom w:val="nil"/>
          <w:right w:val="nil"/>
          <w:between w:val="nil"/>
        </w:pBdr>
        <w:tabs>
          <w:tab w:val="left" w:pos="1307"/>
        </w:tabs>
        <w:jc w:val="both"/>
      </w:pPr>
      <w:r>
        <w:t>Des informations techniques pour étayer l’objectif</w:t>
      </w:r>
    </w:p>
    <w:p w14:paraId="62812678" w14:textId="1C16F87E" w:rsidR="00D27393" w:rsidRDefault="00D27393" w:rsidP="009252F7">
      <w:pPr>
        <w:pStyle w:val="Paragraphedeliste"/>
        <w:numPr>
          <w:ilvl w:val="0"/>
          <w:numId w:val="8"/>
        </w:numPr>
        <w:pBdr>
          <w:top w:val="nil"/>
          <w:left w:val="nil"/>
          <w:bottom w:val="nil"/>
          <w:right w:val="nil"/>
          <w:between w:val="nil"/>
        </w:pBdr>
        <w:tabs>
          <w:tab w:val="left" w:pos="1307"/>
        </w:tabs>
        <w:jc w:val="both"/>
      </w:pPr>
      <w:r>
        <w:t>Les impacts attendus</w:t>
      </w:r>
    </w:p>
    <w:p w14:paraId="05ADB82D" w14:textId="72D0C830" w:rsidR="00595678" w:rsidRDefault="00D27393" w:rsidP="009252F7">
      <w:pPr>
        <w:pStyle w:val="Paragraphedeliste"/>
        <w:numPr>
          <w:ilvl w:val="0"/>
          <w:numId w:val="8"/>
        </w:numPr>
        <w:pBdr>
          <w:top w:val="nil"/>
          <w:left w:val="nil"/>
          <w:bottom w:val="nil"/>
          <w:right w:val="nil"/>
          <w:between w:val="nil"/>
        </w:pBdr>
        <w:tabs>
          <w:tab w:val="left" w:pos="1307"/>
        </w:tabs>
        <w:jc w:val="both"/>
      </w:pPr>
      <w:r>
        <w:t>Des détails sur la composition idéale des consortium (implication importante pour l’évaluation)</w:t>
      </w:r>
    </w:p>
    <w:p w14:paraId="7B6DBC75" w14:textId="3806E44E" w:rsidR="006F7E8F" w:rsidRDefault="00D27393" w:rsidP="00B23F50">
      <w:pPr>
        <w:pBdr>
          <w:top w:val="nil"/>
          <w:left w:val="nil"/>
          <w:bottom w:val="nil"/>
          <w:right w:val="nil"/>
          <w:between w:val="nil"/>
        </w:pBdr>
        <w:tabs>
          <w:tab w:val="left" w:pos="1307"/>
        </w:tabs>
        <w:jc w:val="both"/>
        <w:rPr>
          <w:u w:val="single"/>
        </w:rPr>
      </w:pPr>
      <w:r>
        <w:t>Les guides seront publié</w:t>
      </w:r>
      <w:r w:rsidR="00595678">
        <w:t>s</w:t>
      </w:r>
      <w:r>
        <w:t xml:space="preserve"> à l’ouverture des appels (le 15 juin) sur le </w:t>
      </w:r>
      <w:hyperlink r:id="rId15" w:history="1">
        <w:r w:rsidRPr="0087741C">
          <w:rPr>
            <w:rStyle w:val="Lienhypertexte"/>
          </w:rPr>
          <w:t>site du CEI</w:t>
        </w:r>
      </w:hyperlink>
      <w:r>
        <w:t xml:space="preserve"> et sur le portail </w:t>
      </w:r>
      <w:hyperlink r:id="rId16" w:history="1">
        <w:r w:rsidRPr="0087741C">
          <w:rPr>
            <w:rStyle w:val="Lienhypertexte"/>
          </w:rPr>
          <w:t>Funding&amp;Tenders</w:t>
        </w:r>
      </w:hyperlink>
      <w:r>
        <w:t>.</w:t>
      </w:r>
    </w:p>
    <w:p w14:paraId="3FE068A3" w14:textId="77777777" w:rsidR="00CB2117" w:rsidRDefault="00CB2117" w:rsidP="00754CB4">
      <w:pPr>
        <w:pBdr>
          <w:top w:val="nil"/>
          <w:left w:val="nil"/>
          <w:bottom w:val="nil"/>
          <w:right w:val="nil"/>
          <w:between w:val="nil"/>
        </w:pBdr>
        <w:tabs>
          <w:tab w:val="left" w:pos="1307"/>
        </w:tabs>
        <w:jc w:val="both"/>
        <w:rPr>
          <w:u w:val="single"/>
        </w:rPr>
      </w:pPr>
    </w:p>
    <w:p w14:paraId="006E53A0" w14:textId="1C95449F" w:rsidR="00452274" w:rsidRDefault="00B1055F" w:rsidP="00754CB4">
      <w:pPr>
        <w:pBdr>
          <w:top w:val="nil"/>
          <w:left w:val="nil"/>
          <w:bottom w:val="nil"/>
          <w:right w:val="nil"/>
          <w:between w:val="nil"/>
        </w:pBdr>
        <w:tabs>
          <w:tab w:val="left" w:pos="1307"/>
        </w:tabs>
        <w:jc w:val="both"/>
      </w:pPr>
      <w:r w:rsidRPr="000C27E0">
        <w:rPr>
          <w:u w:val="single"/>
        </w:rPr>
        <w:t>Résumé de l’instrument « Eclaireur »</w:t>
      </w:r>
      <w:r w:rsidR="006F7E8F">
        <w:rPr>
          <w:u w:val="single"/>
        </w:rPr>
        <w:t xml:space="preserve"> pour l’appel 2021</w:t>
      </w:r>
      <w:r>
        <w:t> :</w:t>
      </w:r>
    </w:p>
    <w:tbl>
      <w:tblPr>
        <w:tblStyle w:val="TableauGrille2-Accentuation3"/>
        <w:tblW w:w="9784" w:type="dxa"/>
        <w:tblLook w:val="04A0" w:firstRow="1" w:lastRow="0" w:firstColumn="1" w:lastColumn="0" w:noHBand="0" w:noVBand="1"/>
      </w:tblPr>
      <w:tblGrid>
        <w:gridCol w:w="2410"/>
        <w:gridCol w:w="39"/>
        <w:gridCol w:w="2449"/>
        <w:gridCol w:w="2443"/>
        <w:gridCol w:w="2443"/>
      </w:tblGrid>
      <w:tr w:rsidR="00580D1C" w14:paraId="6F026695" w14:textId="77777777" w:rsidTr="009323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9" w:type="dxa"/>
            <w:gridSpan w:val="2"/>
          </w:tcPr>
          <w:p w14:paraId="1E924F07" w14:textId="6DEE92B6" w:rsidR="00580D1C" w:rsidRDefault="00580D1C" w:rsidP="00754CB4">
            <w:pPr>
              <w:tabs>
                <w:tab w:val="left" w:pos="1307"/>
              </w:tabs>
              <w:jc w:val="both"/>
              <w:rPr>
                <w:b w:val="0"/>
                <w:bCs w:val="0"/>
              </w:rPr>
            </w:pPr>
            <w:bookmarkStart w:id="0" w:name="_Hlk74134471"/>
          </w:p>
        </w:tc>
        <w:tc>
          <w:tcPr>
            <w:tcW w:w="2449" w:type="dxa"/>
          </w:tcPr>
          <w:p w14:paraId="35703F1A" w14:textId="6AD606F4" w:rsidR="00580D1C" w:rsidRDefault="00580D1C" w:rsidP="00754CB4">
            <w:pPr>
              <w:tabs>
                <w:tab w:val="left" w:pos="1307"/>
              </w:tabs>
              <w:jc w:val="both"/>
              <w:cnfStyle w:val="100000000000" w:firstRow="1" w:lastRow="0" w:firstColumn="0" w:lastColumn="0" w:oddVBand="0" w:evenVBand="0" w:oddHBand="0" w:evenHBand="0" w:firstRowFirstColumn="0" w:firstRowLastColumn="0" w:lastRowFirstColumn="0" w:lastRowLastColumn="0"/>
            </w:pPr>
            <w:r>
              <w:t>Appels ouverts</w:t>
            </w:r>
          </w:p>
        </w:tc>
        <w:tc>
          <w:tcPr>
            <w:tcW w:w="2443" w:type="dxa"/>
          </w:tcPr>
          <w:p w14:paraId="2E3188A9" w14:textId="4EE75781" w:rsidR="00580D1C" w:rsidRDefault="00580D1C" w:rsidP="00754CB4">
            <w:pPr>
              <w:tabs>
                <w:tab w:val="left" w:pos="1307"/>
              </w:tabs>
              <w:jc w:val="both"/>
              <w:cnfStyle w:val="100000000000" w:firstRow="1" w:lastRow="0" w:firstColumn="0" w:lastColumn="0" w:oddVBand="0" w:evenVBand="0" w:oddHBand="0" w:evenHBand="0" w:firstRowFirstColumn="0" w:firstRowLastColumn="0" w:lastRowFirstColumn="0" w:lastRowLastColumn="0"/>
            </w:pPr>
            <w:r>
              <w:t>Défis</w:t>
            </w:r>
          </w:p>
        </w:tc>
        <w:tc>
          <w:tcPr>
            <w:tcW w:w="2443" w:type="dxa"/>
          </w:tcPr>
          <w:p w14:paraId="3D54886C" w14:textId="53D536B6" w:rsidR="00580D1C" w:rsidRDefault="00580D1C" w:rsidP="00754CB4">
            <w:pPr>
              <w:tabs>
                <w:tab w:val="left" w:pos="1307"/>
              </w:tabs>
              <w:jc w:val="both"/>
              <w:cnfStyle w:val="100000000000" w:firstRow="1" w:lastRow="0" w:firstColumn="0" w:lastColumn="0" w:oddVBand="0" w:evenVBand="0" w:oddHBand="0" w:evenHBand="0" w:firstRowFirstColumn="0" w:firstRowLastColumn="0" w:lastRowFirstColumn="0" w:lastRowLastColumn="0"/>
            </w:pPr>
            <w:r>
              <w:t>Subvention ad hoc</w:t>
            </w:r>
          </w:p>
        </w:tc>
      </w:tr>
      <w:tr w:rsidR="00580D1C" w14:paraId="0A3EA11A" w14:textId="77777777" w:rsidTr="00580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4A2649AE" w14:textId="7612BCA8" w:rsidR="00580D1C" w:rsidRPr="00580D1C" w:rsidRDefault="00580D1C" w:rsidP="00754CB4">
            <w:pPr>
              <w:tabs>
                <w:tab w:val="left" w:pos="1307"/>
              </w:tabs>
              <w:jc w:val="both"/>
              <w:rPr>
                <w:b w:val="0"/>
                <w:bCs w:val="0"/>
              </w:rPr>
            </w:pPr>
            <w:r>
              <w:t>Budget</w:t>
            </w:r>
          </w:p>
        </w:tc>
        <w:tc>
          <w:tcPr>
            <w:tcW w:w="2488" w:type="dxa"/>
            <w:gridSpan w:val="2"/>
          </w:tcPr>
          <w:p w14:paraId="39E57340" w14:textId="02312BA9" w:rsidR="00580D1C" w:rsidRDefault="00580D1C" w:rsidP="00754CB4">
            <w:pPr>
              <w:tabs>
                <w:tab w:val="left" w:pos="1307"/>
              </w:tabs>
              <w:jc w:val="both"/>
              <w:cnfStyle w:val="000000100000" w:firstRow="0" w:lastRow="0" w:firstColumn="0" w:lastColumn="0" w:oddVBand="0" w:evenVBand="0" w:oddHBand="1" w:evenHBand="0" w:firstRowFirstColumn="0" w:firstRowLastColumn="0" w:lastRowFirstColumn="0" w:lastRowLastColumn="0"/>
            </w:pPr>
            <w:r>
              <w:t>168 millions €</w:t>
            </w:r>
          </w:p>
        </w:tc>
        <w:tc>
          <w:tcPr>
            <w:tcW w:w="2443" w:type="dxa"/>
          </w:tcPr>
          <w:p w14:paraId="32832C54" w14:textId="407DE64B" w:rsidR="00580D1C" w:rsidRDefault="00580D1C" w:rsidP="00754CB4">
            <w:pPr>
              <w:tabs>
                <w:tab w:val="left" w:pos="1307"/>
              </w:tabs>
              <w:jc w:val="both"/>
              <w:cnfStyle w:val="000000100000" w:firstRow="0" w:lastRow="0" w:firstColumn="0" w:lastColumn="0" w:oddVBand="0" w:evenVBand="0" w:oddHBand="1" w:evenHBand="0" w:firstRowFirstColumn="0" w:firstRowLastColumn="0" w:lastRowFirstColumn="0" w:lastRowLastColumn="0"/>
            </w:pPr>
            <w:r>
              <w:t>132 millions €</w:t>
            </w:r>
          </w:p>
        </w:tc>
        <w:tc>
          <w:tcPr>
            <w:tcW w:w="2443" w:type="dxa"/>
          </w:tcPr>
          <w:p w14:paraId="6D485054" w14:textId="0C6D9777" w:rsidR="00580D1C" w:rsidRDefault="00580D1C" w:rsidP="00754CB4">
            <w:pPr>
              <w:tabs>
                <w:tab w:val="left" w:pos="1307"/>
              </w:tabs>
              <w:jc w:val="both"/>
              <w:cnfStyle w:val="000000100000" w:firstRow="0" w:lastRow="0" w:firstColumn="0" w:lastColumn="0" w:oddVBand="0" w:evenVBand="0" w:oddHBand="1" w:evenHBand="0" w:firstRowFirstColumn="0" w:firstRowLastColumn="0" w:lastRowFirstColumn="0" w:lastRowLastColumn="0"/>
            </w:pPr>
            <w:r>
              <w:t>Max 1% du budget de l’appel</w:t>
            </w:r>
          </w:p>
        </w:tc>
      </w:tr>
      <w:tr w:rsidR="00580D1C" w14:paraId="2EE5D35E" w14:textId="77777777" w:rsidTr="00580D1C">
        <w:tc>
          <w:tcPr>
            <w:cnfStyle w:val="001000000000" w:firstRow="0" w:lastRow="0" w:firstColumn="1" w:lastColumn="0" w:oddVBand="0" w:evenVBand="0" w:oddHBand="0" w:evenHBand="0" w:firstRowFirstColumn="0" w:firstRowLastColumn="0" w:lastRowFirstColumn="0" w:lastRowLastColumn="0"/>
            <w:tcW w:w="2410" w:type="dxa"/>
          </w:tcPr>
          <w:p w14:paraId="1FB71C38" w14:textId="7B76FAEF" w:rsidR="00580D1C" w:rsidRDefault="00580D1C" w:rsidP="00754CB4">
            <w:pPr>
              <w:tabs>
                <w:tab w:val="left" w:pos="1307"/>
              </w:tabs>
              <w:jc w:val="both"/>
            </w:pPr>
            <w:r>
              <w:t>Subvention/ projet</w:t>
            </w:r>
          </w:p>
        </w:tc>
        <w:tc>
          <w:tcPr>
            <w:tcW w:w="2488" w:type="dxa"/>
            <w:gridSpan w:val="2"/>
          </w:tcPr>
          <w:p w14:paraId="4EC2458B" w14:textId="2461222F" w:rsidR="00580D1C" w:rsidRDefault="00580D1C" w:rsidP="00754CB4">
            <w:pPr>
              <w:tabs>
                <w:tab w:val="left" w:pos="1307"/>
              </w:tabs>
              <w:jc w:val="both"/>
              <w:cnfStyle w:val="000000000000" w:firstRow="0" w:lastRow="0" w:firstColumn="0" w:lastColumn="0" w:oddVBand="0" w:evenVBand="0" w:oddHBand="0" w:evenHBand="0" w:firstRowFirstColumn="0" w:firstRowLastColumn="0" w:lastRowFirstColumn="0" w:lastRowLastColumn="0"/>
            </w:pPr>
            <w:r>
              <w:t>3 millions max.</w:t>
            </w:r>
          </w:p>
        </w:tc>
        <w:tc>
          <w:tcPr>
            <w:tcW w:w="2443" w:type="dxa"/>
          </w:tcPr>
          <w:p w14:paraId="0DF2BDFD" w14:textId="1142ED87" w:rsidR="00580D1C" w:rsidRDefault="00580D1C" w:rsidP="00754CB4">
            <w:pPr>
              <w:tabs>
                <w:tab w:val="left" w:pos="1307"/>
              </w:tabs>
              <w:jc w:val="both"/>
              <w:cnfStyle w:val="000000000000" w:firstRow="0" w:lastRow="0" w:firstColumn="0" w:lastColumn="0" w:oddVBand="0" w:evenVBand="0" w:oddHBand="0" w:evenHBand="0" w:firstRowFirstColumn="0" w:firstRowLastColumn="0" w:lastRowFirstColumn="0" w:lastRowLastColumn="0"/>
            </w:pPr>
            <w:r>
              <w:t>4 millions max.</w:t>
            </w:r>
          </w:p>
        </w:tc>
        <w:tc>
          <w:tcPr>
            <w:tcW w:w="2443" w:type="dxa"/>
          </w:tcPr>
          <w:p w14:paraId="346F5A3E" w14:textId="0C92C8FD" w:rsidR="00580D1C" w:rsidRDefault="00580D1C" w:rsidP="00754CB4">
            <w:pPr>
              <w:tabs>
                <w:tab w:val="left" w:pos="1307"/>
              </w:tabs>
              <w:jc w:val="both"/>
              <w:cnfStyle w:val="000000000000" w:firstRow="0" w:lastRow="0" w:firstColumn="0" w:lastColumn="0" w:oddVBand="0" w:evenVBand="0" w:oddHBand="0" w:evenHBand="0" w:firstRowFirstColumn="0" w:firstRowLastColumn="0" w:lastRowFirstColumn="0" w:lastRowLastColumn="0"/>
            </w:pPr>
            <w:r>
              <w:t>50 000€ max.</w:t>
            </w:r>
          </w:p>
        </w:tc>
      </w:tr>
      <w:tr w:rsidR="00580D1C" w14:paraId="11CB40D9" w14:textId="77777777" w:rsidTr="00580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41EA84A1" w14:textId="2B5BF07B" w:rsidR="00580D1C" w:rsidRDefault="00580D1C" w:rsidP="00754CB4">
            <w:pPr>
              <w:tabs>
                <w:tab w:val="left" w:pos="1307"/>
              </w:tabs>
              <w:jc w:val="both"/>
            </w:pPr>
            <w:r>
              <w:t>Pourcentage</w:t>
            </w:r>
          </w:p>
        </w:tc>
        <w:tc>
          <w:tcPr>
            <w:tcW w:w="2488" w:type="dxa"/>
            <w:gridSpan w:val="2"/>
          </w:tcPr>
          <w:p w14:paraId="5CEEF944" w14:textId="05C618D8" w:rsidR="00580D1C" w:rsidRDefault="00580D1C" w:rsidP="00754CB4">
            <w:pPr>
              <w:tabs>
                <w:tab w:val="left" w:pos="1307"/>
              </w:tabs>
              <w:jc w:val="both"/>
              <w:cnfStyle w:val="000000100000" w:firstRow="0" w:lastRow="0" w:firstColumn="0" w:lastColumn="0" w:oddVBand="0" w:evenVBand="0" w:oddHBand="1" w:evenHBand="0" w:firstRowFirstColumn="0" w:firstRowLastColumn="0" w:lastRowFirstColumn="0" w:lastRowLastColumn="0"/>
            </w:pPr>
            <w:r>
              <w:t>100% des coûts éligibles</w:t>
            </w:r>
            <w:r w:rsidR="00E461E8">
              <w:rPr>
                <w:rStyle w:val="Appelnotedebasdep"/>
              </w:rPr>
              <w:footnoteReference w:id="2"/>
            </w:r>
          </w:p>
        </w:tc>
        <w:tc>
          <w:tcPr>
            <w:tcW w:w="2443" w:type="dxa"/>
          </w:tcPr>
          <w:p w14:paraId="56DD8B4E" w14:textId="2512A575" w:rsidR="00580D1C" w:rsidRDefault="00580D1C" w:rsidP="00754CB4">
            <w:pPr>
              <w:tabs>
                <w:tab w:val="left" w:pos="1307"/>
              </w:tabs>
              <w:jc w:val="both"/>
              <w:cnfStyle w:val="000000100000" w:firstRow="0" w:lastRow="0" w:firstColumn="0" w:lastColumn="0" w:oddVBand="0" w:evenVBand="0" w:oddHBand="1" w:evenHBand="0" w:firstRowFirstColumn="0" w:firstRowLastColumn="0" w:lastRowFirstColumn="0" w:lastRowLastColumn="0"/>
            </w:pPr>
            <w:r>
              <w:t>100% des coûts éligibles</w:t>
            </w:r>
          </w:p>
        </w:tc>
        <w:tc>
          <w:tcPr>
            <w:tcW w:w="2443" w:type="dxa"/>
          </w:tcPr>
          <w:p w14:paraId="0C3614DE" w14:textId="7192DCE6" w:rsidR="00580D1C" w:rsidRDefault="00580D1C" w:rsidP="00754CB4">
            <w:pPr>
              <w:tabs>
                <w:tab w:val="left" w:pos="1307"/>
              </w:tabs>
              <w:jc w:val="both"/>
              <w:cnfStyle w:val="000000100000" w:firstRow="0" w:lastRow="0" w:firstColumn="0" w:lastColumn="0" w:oddVBand="0" w:evenVBand="0" w:oddHBand="1" w:evenHBand="0" w:firstRowFirstColumn="0" w:firstRowLastColumn="0" w:lastRowFirstColumn="0" w:lastRowLastColumn="0"/>
            </w:pPr>
            <w:r>
              <w:t>Forfait</w:t>
            </w:r>
          </w:p>
        </w:tc>
      </w:tr>
      <w:tr w:rsidR="00580D1C" w14:paraId="6597759B" w14:textId="77777777" w:rsidTr="00580D1C">
        <w:tc>
          <w:tcPr>
            <w:cnfStyle w:val="001000000000" w:firstRow="0" w:lastRow="0" w:firstColumn="1" w:lastColumn="0" w:oddVBand="0" w:evenVBand="0" w:oddHBand="0" w:evenHBand="0" w:firstRowFirstColumn="0" w:firstRowLastColumn="0" w:lastRowFirstColumn="0" w:lastRowLastColumn="0"/>
            <w:tcW w:w="2410" w:type="dxa"/>
          </w:tcPr>
          <w:p w14:paraId="3D838126" w14:textId="4A7C139F" w:rsidR="00580D1C" w:rsidRDefault="00580D1C" w:rsidP="00754CB4">
            <w:pPr>
              <w:tabs>
                <w:tab w:val="left" w:pos="1307"/>
              </w:tabs>
              <w:jc w:val="both"/>
            </w:pPr>
            <w:r>
              <w:t>Ouverture de l’appel</w:t>
            </w:r>
          </w:p>
        </w:tc>
        <w:tc>
          <w:tcPr>
            <w:tcW w:w="2488" w:type="dxa"/>
            <w:gridSpan w:val="2"/>
          </w:tcPr>
          <w:p w14:paraId="78FE711C" w14:textId="45792ABD" w:rsidR="00580D1C" w:rsidRDefault="00580D1C" w:rsidP="00754CB4">
            <w:pPr>
              <w:tabs>
                <w:tab w:val="left" w:pos="1307"/>
              </w:tabs>
              <w:jc w:val="both"/>
              <w:cnfStyle w:val="000000000000" w:firstRow="0" w:lastRow="0" w:firstColumn="0" w:lastColumn="0" w:oddVBand="0" w:evenVBand="0" w:oddHBand="0" w:evenHBand="0" w:firstRowFirstColumn="0" w:firstRowLastColumn="0" w:lastRowFirstColumn="0" w:lastRowLastColumn="0"/>
            </w:pPr>
            <w:r>
              <w:t>08 avril 2021</w:t>
            </w:r>
          </w:p>
        </w:tc>
        <w:tc>
          <w:tcPr>
            <w:tcW w:w="2443" w:type="dxa"/>
          </w:tcPr>
          <w:p w14:paraId="54462500" w14:textId="7FE651D3" w:rsidR="00580D1C" w:rsidRDefault="00580D1C" w:rsidP="00754CB4">
            <w:pPr>
              <w:tabs>
                <w:tab w:val="left" w:pos="1307"/>
              </w:tabs>
              <w:jc w:val="both"/>
              <w:cnfStyle w:val="000000000000" w:firstRow="0" w:lastRow="0" w:firstColumn="0" w:lastColumn="0" w:oddVBand="0" w:evenVBand="0" w:oddHBand="0" w:evenHBand="0" w:firstRowFirstColumn="0" w:firstRowLastColumn="0" w:lastRowFirstColumn="0" w:lastRowLastColumn="0"/>
            </w:pPr>
            <w:r>
              <w:t>15 juin 2021</w:t>
            </w:r>
          </w:p>
        </w:tc>
        <w:tc>
          <w:tcPr>
            <w:tcW w:w="2443" w:type="dxa"/>
          </w:tcPr>
          <w:p w14:paraId="22064526" w14:textId="77777777" w:rsidR="00580D1C" w:rsidRDefault="00580D1C" w:rsidP="00754CB4">
            <w:pPr>
              <w:tabs>
                <w:tab w:val="left" w:pos="1307"/>
              </w:tabs>
              <w:jc w:val="both"/>
              <w:cnfStyle w:val="000000000000" w:firstRow="0" w:lastRow="0" w:firstColumn="0" w:lastColumn="0" w:oddVBand="0" w:evenVBand="0" w:oddHBand="0" w:evenHBand="0" w:firstRowFirstColumn="0" w:firstRowLastColumn="0" w:lastRowFirstColumn="0" w:lastRowLastColumn="0"/>
            </w:pPr>
          </w:p>
        </w:tc>
      </w:tr>
      <w:tr w:rsidR="00580D1C" w14:paraId="46C8FB81" w14:textId="77777777" w:rsidTr="00580D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7E879AFD" w14:textId="049CB538" w:rsidR="00580D1C" w:rsidRDefault="00580D1C" w:rsidP="00754CB4">
            <w:pPr>
              <w:tabs>
                <w:tab w:val="left" w:pos="1307"/>
              </w:tabs>
              <w:jc w:val="both"/>
            </w:pPr>
            <w:r>
              <w:t>Clôture de l’appel</w:t>
            </w:r>
          </w:p>
        </w:tc>
        <w:tc>
          <w:tcPr>
            <w:tcW w:w="2488" w:type="dxa"/>
            <w:gridSpan w:val="2"/>
          </w:tcPr>
          <w:p w14:paraId="3351DA64" w14:textId="0AF13749" w:rsidR="00580D1C" w:rsidRDefault="00580D1C" w:rsidP="00754CB4">
            <w:pPr>
              <w:tabs>
                <w:tab w:val="left" w:pos="1307"/>
              </w:tabs>
              <w:jc w:val="both"/>
              <w:cnfStyle w:val="000000100000" w:firstRow="0" w:lastRow="0" w:firstColumn="0" w:lastColumn="0" w:oddVBand="0" w:evenVBand="0" w:oddHBand="1" w:evenHBand="0" w:firstRowFirstColumn="0" w:firstRowLastColumn="0" w:lastRowFirstColumn="0" w:lastRowLastColumn="0"/>
            </w:pPr>
            <w:r>
              <w:t>19 mai 2021</w:t>
            </w:r>
          </w:p>
        </w:tc>
        <w:tc>
          <w:tcPr>
            <w:tcW w:w="2443" w:type="dxa"/>
          </w:tcPr>
          <w:p w14:paraId="6633F92E" w14:textId="032FCF8B" w:rsidR="00580D1C" w:rsidRDefault="00580D1C" w:rsidP="00754CB4">
            <w:pPr>
              <w:tabs>
                <w:tab w:val="left" w:pos="1307"/>
              </w:tabs>
              <w:jc w:val="both"/>
              <w:cnfStyle w:val="000000100000" w:firstRow="0" w:lastRow="0" w:firstColumn="0" w:lastColumn="0" w:oddVBand="0" w:evenVBand="0" w:oddHBand="1" w:evenHBand="0" w:firstRowFirstColumn="0" w:firstRowLastColumn="0" w:lastRowFirstColumn="0" w:lastRowLastColumn="0"/>
            </w:pPr>
            <w:r>
              <w:t>27 octobre 2021</w:t>
            </w:r>
          </w:p>
        </w:tc>
        <w:tc>
          <w:tcPr>
            <w:tcW w:w="2443" w:type="dxa"/>
          </w:tcPr>
          <w:p w14:paraId="72EB4528" w14:textId="77777777" w:rsidR="00580D1C" w:rsidRDefault="00580D1C" w:rsidP="00754CB4">
            <w:pPr>
              <w:tabs>
                <w:tab w:val="left" w:pos="1307"/>
              </w:tabs>
              <w:jc w:val="both"/>
              <w:cnfStyle w:val="000000100000" w:firstRow="0" w:lastRow="0" w:firstColumn="0" w:lastColumn="0" w:oddVBand="0" w:evenVBand="0" w:oddHBand="1" w:evenHBand="0" w:firstRowFirstColumn="0" w:firstRowLastColumn="0" w:lastRowFirstColumn="0" w:lastRowLastColumn="0"/>
            </w:pPr>
          </w:p>
        </w:tc>
      </w:tr>
      <w:tr w:rsidR="00580D1C" w14:paraId="259EBC8E" w14:textId="77777777" w:rsidTr="00580D1C">
        <w:tc>
          <w:tcPr>
            <w:cnfStyle w:val="001000000000" w:firstRow="0" w:lastRow="0" w:firstColumn="1" w:lastColumn="0" w:oddVBand="0" w:evenVBand="0" w:oddHBand="0" w:evenHBand="0" w:firstRowFirstColumn="0" w:firstRowLastColumn="0" w:lastRowFirstColumn="0" w:lastRowLastColumn="0"/>
            <w:tcW w:w="2410" w:type="dxa"/>
          </w:tcPr>
          <w:p w14:paraId="276553F7" w14:textId="707EB869" w:rsidR="00580D1C" w:rsidRDefault="00580D1C" w:rsidP="00754CB4">
            <w:pPr>
              <w:tabs>
                <w:tab w:val="left" w:pos="1307"/>
              </w:tabs>
              <w:jc w:val="both"/>
            </w:pPr>
            <w:r>
              <w:t>Longueur</w:t>
            </w:r>
          </w:p>
        </w:tc>
        <w:tc>
          <w:tcPr>
            <w:tcW w:w="2488" w:type="dxa"/>
            <w:gridSpan w:val="2"/>
          </w:tcPr>
          <w:p w14:paraId="7552E4DF" w14:textId="0BF45057" w:rsidR="00580D1C" w:rsidRDefault="00580D1C" w:rsidP="00754CB4">
            <w:pPr>
              <w:tabs>
                <w:tab w:val="left" w:pos="1307"/>
              </w:tabs>
              <w:jc w:val="both"/>
              <w:cnfStyle w:val="000000000000" w:firstRow="0" w:lastRow="0" w:firstColumn="0" w:lastColumn="0" w:oddVBand="0" w:evenVBand="0" w:oddHBand="0" w:evenHBand="0" w:firstRowFirstColumn="0" w:firstRowLastColumn="0" w:lastRowFirstColumn="0" w:lastRowLastColumn="0"/>
            </w:pPr>
            <w:r>
              <w:t>17 pages</w:t>
            </w:r>
          </w:p>
        </w:tc>
        <w:tc>
          <w:tcPr>
            <w:tcW w:w="2443" w:type="dxa"/>
          </w:tcPr>
          <w:p w14:paraId="08233D6B" w14:textId="17E1973F" w:rsidR="00580D1C" w:rsidRDefault="00580D1C" w:rsidP="00754CB4">
            <w:pPr>
              <w:tabs>
                <w:tab w:val="left" w:pos="1307"/>
              </w:tabs>
              <w:jc w:val="both"/>
              <w:cnfStyle w:val="000000000000" w:firstRow="0" w:lastRow="0" w:firstColumn="0" w:lastColumn="0" w:oddVBand="0" w:evenVBand="0" w:oddHBand="0" w:evenHBand="0" w:firstRowFirstColumn="0" w:firstRowLastColumn="0" w:lastRowFirstColumn="0" w:lastRowLastColumn="0"/>
            </w:pPr>
            <w:r>
              <w:t>25 pages</w:t>
            </w:r>
          </w:p>
        </w:tc>
        <w:tc>
          <w:tcPr>
            <w:tcW w:w="2443" w:type="dxa"/>
          </w:tcPr>
          <w:p w14:paraId="4AF7F5D5" w14:textId="77777777" w:rsidR="00580D1C" w:rsidRDefault="00580D1C" w:rsidP="00754CB4">
            <w:pPr>
              <w:tabs>
                <w:tab w:val="left" w:pos="1307"/>
              </w:tabs>
              <w:jc w:val="both"/>
              <w:cnfStyle w:val="000000000000" w:firstRow="0" w:lastRow="0" w:firstColumn="0" w:lastColumn="0" w:oddVBand="0" w:evenVBand="0" w:oddHBand="0" w:evenHBand="0" w:firstRowFirstColumn="0" w:firstRowLastColumn="0" w:lastRowFirstColumn="0" w:lastRowLastColumn="0"/>
            </w:pPr>
          </w:p>
        </w:tc>
      </w:tr>
      <w:tr w:rsidR="006F7E8F" w14:paraId="2EE6ADB1" w14:textId="77777777" w:rsidTr="00923F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4400886E" w14:textId="25E77553" w:rsidR="006F7E8F" w:rsidRDefault="006F7E8F" w:rsidP="00754CB4">
            <w:pPr>
              <w:tabs>
                <w:tab w:val="left" w:pos="1307"/>
              </w:tabs>
              <w:jc w:val="both"/>
            </w:pPr>
            <w:r>
              <w:t>Dépôt</w:t>
            </w:r>
          </w:p>
        </w:tc>
        <w:tc>
          <w:tcPr>
            <w:tcW w:w="4931" w:type="dxa"/>
            <w:gridSpan w:val="3"/>
          </w:tcPr>
          <w:p w14:paraId="116F25B3" w14:textId="3BC8B761" w:rsidR="006F7E8F" w:rsidRDefault="006F7E8F" w:rsidP="006F7E8F">
            <w:pPr>
              <w:tabs>
                <w:tab w:val="left" w:pos="1307"/>
              </w:tabs>
              <w:jc w:val="center"/>
              <w:cnfStyle w:val="000000100000" w:firstRow="0" w:lastRow="0" w:firstColumn="0" w:lastColumn="0" w:oddVBand="0" w:evenVBand="0" w:oddHBand="1" w:evenHBand="0" w:firstRowFirstColumn="0" w:firstRowLastColumn="0" w:lastRowFirstColumn="0" w:lastRowLastColumn="0"/>
            </w:pPr>
            <w:r>
              <w:t>Une étape</w:t>
            </w:r>
          </w:p>
        </w:tc>
        <w:tc>
          <w:tcPr>
            <w:tcW w:w="2443" w:type="dxa"/>
          </w:tcPr>
          <w:p w14:paraId="7005F075" w14:textId="77777777" w:rsidR="006F7E8F" w:rsidRDefault="006F7E8F" w:rsidP="00754CB4">
            <w:pPr>
              <w:tabs>
                <w:tab w:val="left" w:pos="1307"/>
              </w:tabs>
              <w:jc w:val="both"/>
              <w:cnfStyle w:val="000000100000" w:firstRow="0" w:lastRow="0" w:firstColumn="0" w:lastColumn="0" w:oddVBand="0" w:evenVBand="0" w:oddHBand="1" w:evenHBand="0" w:firstRowFirstColumn="0" w:firstRowLastColumn="0" w:lastRowFirstColumn="0" w:lastRowLastColumn="0"/>
            </w:pPr>
          </w:p>
        </w:tc>
      </w:tr>
      <w:tr w:rsidR="00580D1C" w14:paraId="4172F6FF" w14:textId="77777777" w:rsidTr="00580D1C">
        <w:tc>
          <w:tcPr>
            <w:cnfStyle w:val="001000000000" w:firstRow="0" w:lastRow="0" w:firstColumn="1" w:lastColumn="0" w:oddVBand="0" w:evenVBand="0" w:oddHBand="0" w:evenHBand="0" w:firstRowFirstColumn="0" w:firstRowLastColumn="0" w:lastRowFirstColumn="0" w:lastRowLastColumn="0"/>
            <w:tcW w:w="2410" w:type="dxa"/>
          </w:tcPr>
          <w:p w14:paraId="55B454B3" w14:textId="221B8199" w:rsidR="00580D1C" w:rsidRDefault="00580D1C" w:rsidP="00754CB4">
            <w:pPr>
              <w:tabs>
                <w:tab w:val="left" w:pos="1307"/>
              </w:tabs>
              <w:jc w:val="both"/>
            </w:pPr>
            <w:r>
              <w:t>Partenariat</w:t>
            </w:r>
          </w:p>
        </w:tc>
        <w:tc>
          <w:tcPr>
            <w:tcW w:w="2488" w:type="dxa"/>
            <w:gridSpan w:val="2"/>
          </w:tcPr>
          <w:p w14:paraId="02222AF3" w14:textId="366285D3" w:rsidR="00580D1C" w:rsidRDefault="00580D1C" w:rsidP="00754CB4">
            <w:pPr>
              <w:tabs>
                <w:tab w:val="left" w:pos="1307"/>
              </w:tabs>
              <w:jc w:val="both"/>
              <w:cnfStyle w:val="000000000000" w:firstRow="0" w:lastRow="0" w:firstColumn="0" w:lastColumn="0" w:oddVBand="0" w:evenVBand="0" w:oddHBand="0" w:evenHBand="0" w:firstRowFirstColumn="0" w:firstRowLastColumn="0" w:lastRowFirstColumn="0" w:lastRowLastColumn="0"/>
            </w:pPr>
            <w:r>
              <w:t>Consortium</w:t>
            </w:r>
            <w:r w:rsidR="0036229B">
              <w:t xml:space="preserve"> obligatoire de </w:t>
            </w:r>
            <w:r>
              <w:t xml:space="preserve">Min. 3 partenaires </w:t>
            </w:r>
            <w:r w:rsidR="0036229B">
              <w:t xml:space="preserve">issus </w:t>
            </w:r>
            <w:r>
              <w:t>de 3 Etats membres ou associés</w:t>
            </w:r>
          </w:p>
        </w:tc>
        <w:tc>
          <w:tcPr>
            <w:tcW w:w="2443" w:type="dxa"/>
          </w:tcPr>
          <w:p w14:paraId="73D67089" w14:textId="02740D63" w:rsidR="00580D1C" w:rsidRDefault="00580D1C" w:rsidP="00754CB4">
            <w:pPr>
              <w:tabs>
                <w:tab w:val="left" w:pos="1307"/>
              </w:tabs>
              <w:jc w:val="both"/>
              <w:cnfStyle w:val="000000000000" w:firstRow="0" w:lastRow="0" w:firstColumn="0" w:lastColumn="0" w:oddVBand="0" w:evenVBand="0" w:oddHBand="0" w:evenHBand="0" w:firstRowFirstColumn="0" w:firstRowLastColumn="0" w:lastRowFirstColumn="0" w:lastRowLastColumn="0"/>
            </w:pPr>
            <w:r>
              <w:t>Monopartenaire ou petit consortium (jusqu’à 3). Si consortium : chacun doit être issu d’un Etat différent.</w:t>
            </w:r>
          </w:p>
        </w:tc>
        <w:tc>
          <w:tcPr>
            <w:tcW w:w="2443" w:type="dxa"/>
          </w:tcPr>
          <w:p w14:paraId="04A823D3" w14:textId="23F4E32F" w:rsidR="00580D1C" w:rsidRDefault="005D47D6" w:rsidP="00754CB4">
            <w:pPr>
              <w:tabs>
                <w:tab w:val="left" w:pos="1307"/>
              </w:tabs>
              <w:jc w:val="both"/>
              <w:cnfStyle w:val="000000000000" w:firstRow="0" w:lastRow="0" w:firstColumn="0" w:lastColumn="0" w:oddVBand="0" w:evenVBand="0" w:oddHBand="0" w:evenHBand="0" w:firstRowFirstColumn="0" w:firstRowLastColumn="0" w:lastRowFirstColumn="0" w:lastRowLastColumn="0"/>
            </w:pPr>
            <w:r>
              <w:t>Une par entité légale</w:t>
            </w:r>
          </w:p>
        </w:tc>
      </w:tr>
      <w:bookmarkEnd w:id="0"/>
    </w:tbl>
    <w:p w14:paraId="6C17C7DB" w14:textId="77777777" w:rsidR="00694874" w:rsidRDefault="00694874" w:rsidP="00754CB4">
      <w:pPr>
        <w:pBdr>
          <w:top w:val="nil"/>
          <w:left w:val="nil"/>
          <w:bottom w:val="nil"/>
          <w:right w:val="nil"/>
          <w:between w:val="nil"/>
        </w:pBdr>
        <w:tabs>
          <w:tab w:val="left" w:pos="1307"/>
        </w:tabs>
        <w:jc w:val="both"/>
      </w:pPr>
    </w:p>
    <w:p w14:paraId="293F09A2" w14:textId="44201610" w:rsidR="00790BB9" w:rsidRPr="00E171E7" w:rsidRDefault="00B1055F" w:rsidP="009252F7">
      <w:pPr>
        <w:pStyle w:val="Paragraphedeliste"/>
        <w:numPr>
          <w:ilvl w:val="0"/>
          <w:numId w:val="6"/>
        </w:numPr>
        <w:rPr>
          <w:u w:val="single"/>
        </w:rPr>
      </w:pPr>
      <w:r w:rsidRPr="00E171E7">
        <w:rPr>
          <w:b/>
          <w:bCs/>
          <w:color w:val="403152" w:themeColor="accent4" w:themeShade="80"/>
          <w:u w:val="single"/>
        </w:rPr>
        <w:t>Instrument</w:t>
      </w:r>
      <w:r w:rsidR="00790BB9" w:rsidRPr="00E171E7">
        <w:rPr>
          <w:b/>
          <w:bCs/>
          <w:color w:val="403152" w:themeColor="accent4" w:themeShade="80"/>
          <w:u w:val="single"/>
        </w:rPr>
        <w:t xml:space="preserve"> Transition</w:t>
      </w:r>
    </w:p>
    <w:p w14:paraId="510C5ADD" w14:textId="1BF22B86" w:rsidR="00746390" w:rsidRDefault="00746390" w:rsidP="00E171E7">
      <w:pPr>
        <w:pBdr>
          <w:top w:val="nil"/>
          <w:left w:val="nil"/>
          <w:bottom w:val="nil"/>
          <w:right w:val="nil"/>
          <w:between w:val="nil"/>
        </w:pBdr>
        <w:tabs>
          <w:tab w:val="left" w:pos="1307"/>
        </w:tabs>
        <w:jc w:val="both"/>
      </w:pPr>
    </w:p>
    <w:p w14:paraId="3CBD3740" w14:textId="29580091" w:rsidR="00A73B9F" w:rsidRDefault="00694874" w:rsidP="00E171E7">
      <w:pPr>
        <w:pBdr>
          <w:top w:val="nil"/>
          <w:left w:val="nil"/>
          <w:bottom w:val="nil"/>
          <w:right w:val="nil"/>
          <w:between w:val="nil"/>
        </w:pBdr>
        <w:tabs>
          <w:tab w:val="left" w:pos="1307"/>
        </w:tabs>
        <w:jc w:val="both"/>
      </w:pPr>
      <w:r>
        <w:t xml:space="preserve">Cet instrument est une nouveauté de la programmation 2021-2027. </w:t>
      </w:r>
      <w:r w:rsidR="00A73B9F">
        <w:t>Le but est d’éviter qu’une fois la recherche</w:t>
      </w:r>
      <w:r>
        <w:t xml:space="preserve"> fondamentale</w:t>
      </w:r>
      <w:r w:rsidR="00A73B9F">
        <w:t xml:space="preserve"> faite les résultats ne soient jamais mobilisés. On se trouve donc juste après les projets Eclaireurs, </w:t>
      </w:r>
      <w:r>
        <w:t xml:space="preserve">et </w:t>
      </w:r>
      <w:r w:rsidR="00A73B9F">
        <w:t xml:space="preserve">on part ici </w:t>
      </w:r>
      <w:r>
        <w:t>d’un TRL</w:t>
      </w:r>
      <w:r w:rsidR="00A73B9F">
        <w:t xml:space="preserve"> 3-4 pour terminer sur </w:t>
      </w:r>
      <w:r>
        <w:t>un TRL</w:t>
      </w:r>
      <w:r w:rsidR="00A73B9F">
        <w:t xml:space="preserve"> 5-6.</w:t>
      </w:r>
      <w:r w:rsidR="00016850">
        <w:t xml:space="preserve"> </w:t>
      </w:r>
      <w:r w:rsidR="00A73B9F">
        <w:t xml:space="preserve">Ici, le porteur de projet doit avoir une première vision économique pour « l’après projet ». </w:t>
      </w:r>
    </w:p>
    <w:p w14:paraId="2EE405AA" w14:textId="13E42A00" w:rsidR="00A73B9F" w:rsidRDefault="00674C44" w:rsidP="00E171E7">
      <w:pPr>
        <w:pBdr>
          <w:top w:val="nil"/>
          <w:left w:val="nil"/>
          <w:bottom w:val="nil"/>
          <w:right w:val="nil"/>
          <w:between w:val="nil"/>
        </w:pBdr>
        <w:tabs>
          <w:tab w:val="left" w:pos="1307"/>
        </w:tabs>
        <w:jc w:val="both"/>
      </w:pPr>
      <w:r>
        <w:t>Cet instrument ne peut être mobilisé que par des projets précédemment financés par l’instrument Eclaireur de l’EIC, par l’ERC (Conseil Européen de la Recherche, 1</w:t>
      </w:r>
      <w:r w:rsidRPr="00674C44">
        <w:rPr>
          <w:vertAlign w:val="superscript"/>
        </w:rPr>
        <w:t>er</w:t>
      </w:r>
      <w:r>
        <w:t xml:space="preserve"> pilier)</w:t>
      </w:r>
      <w:r w:rsidR="00B93087">
        <w:t xml:space="preserve"> ou par les FET-open, FET-flagship ou FET-proactive</w:t>
      </w:r>
      <w:r w:rsidR="00694874">
        <w:t>, avec la condition supplémentaire que c</w:t>
      </w:r>
      <w:r>
        <w:t>es projets devront :</w:t>
      </w:r>
    </w:p>
    <w:p w14:paraId="46264460" w14:textId="203D37FC" w:rsidR="00A73B9F" w:rsidRDefault="00A73B9F" w:rsidP="009252F7">
      <w:pPr>
        <w:pStyle w:val="Paragraphedeliste"/>
        <w:numPr>
          <w:ilvl w:val="0"/>
          <w:numId w:val="8"/>
        </w:numPr>
        <w:pBdr>
          <w:top w:val="nil"/>
          <w:left w:val="nil"/>
          <w:bottom w:val="nil"/>
          <w:right w:val="nil"/>
          <w:between w:val="nil"/>
        </w:pBdr>
        <w:tabs>
          <w:tab w:val="left" w:pos="1307"/>
        </w:tabs>
        <w:jc w:val="both"/>
      </w:pPr>
      <w:r>
        <w:t>A</w:t>
      </w:r>
      <w:r w:rsidR="00674C44">
        <w:t>voir</w:t>
      </w:r>
      <w:r>
        <w:t xml:space="preserve"> </w:t>
      </w:r>
      <w:r w:rsidR="000C27E0">
        <w:t>d</w:t>
      </w:r>
      <w:r>
        <w:t xml:space="preserve">ébuté plus de 12 mois avant la date d’échéance de l’appel </w:t>
      </w:r>
      <w:r w:rsidR="00674C44">
        <w:t>« T</w:t>
      </w:r>
      <w:r>
        <w:t>ransition</w:t>
      </w:r>
      <w:r w:rsidR="00674C44">
        <w:t> »</w:t>
      </w:r>
    </w:p>
    <w:p w14:paraId="6D92EFA9" w14:textId="318BBC56" w:rsidR="00A73B9F" w:rsidRDefault="00A73B9F" w:rsidP="009252F7">
      <w:pPr>
        <w:pStyle w:val="Paragraphedeliste"/>
        <w:numPr>
          <w:ilvl w:val="0"/>
          <w:numId w:val="8"/>
        </w:numPr>
        <w:pBdr>
          <w:top w:val="nil"/>
          <w:left w:val="nil"/>
          <w:bottom w:val="nil"/>
          <w:right w:val="nil"/>
          <w:between w:val="nil"/>
        </w:pBdr>
        <w:tabs>
          <w:tab w:val="left" w:pos="1307"/>
        </w:tabs>
        <w:jc w:val="both"/>
      </w:pPr>
      <w:r>
        <w:t>Se termine</w:t>
      </w:r>
      <w:r w:rsidR="00674C44">
        <w:t>r</w:t>
      </w:r>
      <w:r>
        <w:t xml:space="preserve"> </w:t>
      </w:r>
      <w:r w:rsidR="00674C44">
        <w:t>dans les</w:t>
      </w:r>
      <w:r>
        <w:t xml:space="preserve"> 24 mois </w:t>
      </w:r>
      <w:r w:rsidR="00674C44">
        <w:t>suivant la date de clôture de l’appel</w:t>
      </w:r>
    </w:p>
    <w:p w14:paraId="294D2B41" w14:textId="77777777" w:rsidR="00A73B9F" w:rsidRDefault="00A73B9F" w:rsidP="00A73B9F">
      <w:pPr>
        <w:pBdr>
          <w:top w:val="nil"/>
          <w:left w:val="nil"/>
          <w:bottom w:val="nil"/>
          <w:right w:val="nil"/>
          <w:between w:val="nil"/>
        </w:pBdr>
        <w:tabs>
          <w:tab w:val="left" w:pos="1307"/>
        </w:tabs>
        <w:jc w:val="both"/>
      </w:pPr>
    </w:p>
    <w:p w14:paraId="7875FCA4" w14:textId="301A78F1" w:rsidR="00A73B9F" w:rsidRDefault="00A73B9F" w:rsidP="00746390">
      <w:pPr>
        <w:pBdr>
          <w:top w:val="nil"/>
          <w:left w:val="nil"/>
          <w:bottom w:val="nil"/>
          <w:right w:val="nil"/>
          <w:between w:val="nil"/>
        </w:pBdr>
        <w:tabs>
          <w:tab w:val="left" w:pos="1307"/>
        </w:tabs>
        <w:jc w:val="both"/>
      </w:pPr>
      <w:r>
        <w:t xml:space="preserve">Ces projets sont </w:t>
      </w:r>
      <w:r w:rsidRPr="00580D1C">
        <w:rPr>
          <w:b/>
          <w:bCs/>
        </w:rPr>
        <w:t>mono-bénéficiaire</w:t>
      </w:r>
      <w:r w:rsidR="005433ED">
        <w:rPr>
          <w:b/>
          <w:bCs/>
        </w:rPr>
        <w:t>s</w:t>
      </w:r>
      <w:r w:rsidRPr="00580D1C">
        <w:rPr>
          <w:b/>
          <w:bCs/>
        </w:rPr>
        <w:t xml:space="preserve"> ou de petits consortiums</w:t>
      </w:r>
      <w:r>
        <w:t xml:space="preserve"> (2 à 5 bénéficiaires), et ne peuvent pas être </w:t>
      </w:r>
      <w:r w:rsidR="00E57782">
        <w:t>portés</w:t>
      </w:r>
      <w:r>
        <w:t xml:space="preserve"> par des grandes entreprises (</w:t>
      </w:r>
      <w:r w:rsidRPr="00580D1C">
        <w:rPr>
          <w:b/>
          <w:bCs/>
        </w:rPr>
        <w:t>PME ou start-up uniquement</w:t>
      </w:r>
      <w:r>
        <w:t xml:space="preserve">). </w:t>
      </w:r>
    </w:p>
    <w:p w14:paraId="53607553" w14:textId="0CD21714" w:rsidR="00A73B9F" w:rsidRDefault="00A73B9F" w:rsidP="00746390">
      <w:pPr>
        <w:pBdr>
          <w:top w:val="nil"/>
          <w:left w:val="nil"/>
          <w:bottom w:val="nil"/>
          <w:right w:val="nil"/>
          <w:between w:val="nil"/>
        </w:pBdr>
        <w:tabs>
          <w:tab w:val="left" w:pos="1307"/>
        </w:tabs>
        <w:jc w:val="both"/>
      </w:pPr>
    </w:p>
    <w:p w14:paraId="175D9E0E" w14:textId="77777777" w:rsidR="00694874" w:rsidRDefault="00B15F2A" w:rsidP="00016850">
      <w:pPr>
        <w:pBdr>
          <w:top w:val="nil"/>
          <w:left w:val="nil"/>
          <w:bottom w:val="nil"/>
          <w:right w:val="nil"/>
          <w:between w:val="nil"/>
        </w:pBdr>
        <w:tabs>
          <w:tab w:val="left" w:pos="1307"/>
        </w:tabs>
        <w:jc w:val="both"/>
      </w:pPr>
      <w:r>
        <w:t>Comme les autres instruments</w:t>
      </w:r>
      <w:r w:rsidR="00251E6D">
        <w:t>,</w:t>
      </w:r>
      <w:r>
        <w:t xml:space="preserve"> « Transition » dispose</w:t>
      </w:r>
      <w:r w:rsidR="00694874">
        <w:t> :</w:t>
      </w:r>
    </w:p>
    <w:p w14:paraId="5BFB1AB9" w14:textId="037AFB0C" w:rsidR="00694874" w:rsidRDefault="00694874" w:rsidP="009252F7">
      <w:pPr>
        <w:pStyle w:val="Paragraphedeliste"/>
        <w:numPr>
          <w:ilvl w:val="0"/>
          <w:numId w:val="17"/>
        </w:numPr>
        <w:pBdr>
          <w:top w:val="nil"/>
          <w:left w:val="nil"/>
          <w:bottom w:val="nil"/>
          <w:right w:val="nil"/>
          <w:between w:val="nil"/>
        </w:pBdr>
        <w:tabs>
          <w:tab w:val="left" w:pos="1307"/>
        </w:tabs>
        <w:jc w:val="both"/>
      </w:pPr>
      <w:r>
        <w:t>D’un</w:t>
      </w:r>
      <w:r w:rsidR="00B15F2A">
        <w:t xml:space="preserve"> appel ouvert, </w:t>
      </w:r>
    </w:p>
    <w:p w14:paraId="2B1DD68E" w14:textId="77777777" w:rsidR="00694874" w:rsidRDefault="00694874" w:rsidP="009252F7">
      <w:pPr>
        <w:pStyle w:val="Paragraphedeliste"/>
        <w:numPr>
          <w:ilvl w:val="0"/>
          <w:numId w:val="17"/>
        </w:numPr>
        <w:pBdr>
          <w:top w:val="nil"/>
          <w:left w:val="nil"/>
          <w:bottom w:val="nil"/>
          <w:right w:val="nil"/>
          <w:between w:val="nil"/>
        </w:pBdr>
        <w:tabs>
          <w:tab w:val="left" w:pos="1307"/>
        </w:tabs>
        <w:jc w:val="both"/>
      </w:pPr>
      <w:r>
        <w:t>Et</w:t>
      </w:r>
      <w:r w:rsidR="00B15F2A">
        <w:t xml:space="preserve"> d’un volet « Défi » qui comprend d</w:t>
      </w:r>
      <w:r w:rsidR="00016850">
        <w:t>eux défis pour 2021, dont un lié à une thématique environnementale : « </w:t>
      </w:r>
      <w:r w:rsidR="00016850" w:rsidRPr="00694874">
        <w:rPr>
          <w:b/>
          <w:bCs/>
        </w:rPr>
        <w:t>Technologies de collecte et de stockage d’énergie </w:t>
      </w:r>
      <w:r w:rsidR="00016850">
        <w:t>».</w:t>
      </w:r>
    </w:p>
    <w:p w14:paraId="795194CE" w14:textId="0EB40483" w:rsidR="00016850" w:rsidRDefault="00CB2117" w:rsidP="00694874">
      <w:pPr>
        <w:pBdr>
          <w:top w:val="nil"/>
          <w:left w:val="nil"/>
          <w:bottom w:val="nil"/>
          <w:right w:val="nil"/>
          <w:between w:val="nil"/>
        </w:pBdr>
        <w:tabs>
          <w:tab w:val="left" w:pos="1307"/>
        </w:tabs>
        <w:jc w:val="both"/>
      </w:pPr>
      <w:r>
        <w:t>Une subvention de 2.5 millions d’euros est prévue</w:t>
      </w:r>
      <w:r w:rsidR="00694874">
        <w:t xml:space="preserve"> pour chaque projet sélectionné</w:t>
      </w:r>
      <w:r>
        <w:t>, mais si justifié elle pourrait éventuellement être revue à la hausse.</w:t>
      </w:r>
    </w:p>
    <w:p w14:paraId="0387295E" w14:textId="77777777" w:rsidR="00CB2117" w:rsidRDefault="00CB2117" w:rsidP="00016850">
      <w:pPr>
        <w:pBdr>
          <w:top w:val="nil"/>
          <w:left w:val="nil"/>
          <w:bottom w:val="nil"/>
          <w:right w:val="nil"/>
          <w:between w:val="nil"/>
        </w:pBdr>
        <w:tabs>
          <w:tab w:val="left" w:pos="1307"/>
        </w:tabs>
        <w:jc w:val="both"/>
      </w:pPr>
    </w:p>
    <w:p w14:paraId="25605D53" w14:textId="22C3F33F" w:rsidR="00B86FFB" w:rsidRDefault="00B86FFB" w:rsidP="00016850">
      <w:pPr>
        <w:pBdr>
          <w:top w:val="nil"/>
          <w:left w:val="nil"/>
          <w:bottom w:val="nil"/>
          <w:right w:val="nil"/>
          <w:between w:val="nil"/>
        </w:pBdr>
        <w:tabs>
          <w:tab w:val="left" w:pos="1307"/>
        </w:tabs>
        <w:jc w:val="both"/>
      </w:pPr>
      <w:r w:rsidRPr="00E461E8">
        <w:rPr>
          <w:u w:val="single"/>
        </w:rPr>
        <w:t>Résumé de l’instrument « Transition »</w:t>
      </w:r>
      <w:r w:rsidR="006F7E8F">
        <w:rPr>
          <w:u w:val="single"/>
        </w:rPr>
        <w:t xml:space="preserve"> pour l’appel 2021</w:t>
      </w:r>
      <w:r w:rsidR="00E461E8">
        <w:t> :</w:t>
      </w:r>
    </w:p>
    <w:p w14:paraId="065A2B27" w14:textId="6AD7AC37" w:rsidR="00016850" w:rsidRDefault="00016850" w:rsidP="00746390">
      <w:pPr>
        <w:pBdr>
          <w:top w:val="nil"/>
          <w:left w:val="nil"/>
          <w:bottom w:val="nil"/>
          <w:right w:val="nil"/>
          <w:between w:val="nil"/>
        </w:pBdr>
        <w:tabs>
          <w:tab w:val="left" w:pos="1307"/>
        </w:tabs>
        <w:jc w:val="both"/>
      </w:pPr>
    </w:p>
    <w:tbl>
      <w:tblPr>
        <w:tblStyle w:val="TableauGrille2-Accentuation3"/>
        <w:tblW w:w="9781" w:type="dxa"/>
        <w:tblLook w:val="04A0" w:firstRow="1" w:lastRow="0" w:firstColumn="1" w:lastColumn="0" w:noHBand="0" w:noVBand="1"/>
      </w:tblPr>
      <w:tblGrid>
        <w:gridCol w:w="2445"/>
        <w:gridCol w:w="2399"/>
        <w:gridCol w:w="2588"/>
        <w:gridCol w:w="2349"/>
      </w:tblGrid>
      <w:tr w:rsidR="00CB2117" w14:paraId="36E821DD" w14:textId="0AEEB024" w:rsidTr="00CB21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5" w:type="dxa"/>
          </w:tcPr>
          <w:p w14:paraId="7EC6E160" w14:textId="77777777" w:rsidR="00CB2117" w:rsidRDefault="00CB2117" w:rsidP="00CB2117">
            <w:pPr>
              <w:tabs>
                <w:tab w:val="left" w:pos="1307"/>
              </w:tabs>
              <w:jc w:val="both"/>
              <w:rPr>
                <w:b w:val="0"/>
                <w:bCs w:val="0"/>
              </w:rPr>
            </w:pPr>
          </w:p>
        </w:tc>
        <w:tc>
          <w:tcPr>
            <w:tcW w:w="2399" w:type="dxa"/>
          </w:tcPr>
          <w:p w14:paraId="2EC12A6B" w14:textId="77777777" w:rsidR="00CB2117" w:rsidRDefault="00CB2117" w:rsidP="00CB2117">
            <w:pPr>
              <w:tabs>
                <w:tab w:val="left" w:pos="1307"/>
              </w:tabs>
              <w:jc w:val="both"/>
              <w:cnfStyle w:val="100000000000" w:firstRow="1" w:lastRow="0" w:firstColumn="0" w:lastColumn="0" w:oddVBand="0" w:evenVBand="0" w:oddHBand="0" w:evenHBand="0" w:firstRowFirstColumn="0" w:firstRowLastColumn="0" w:lastRowFirstColumn="0" w:lastRowLastColumn="0"/>
            </w:pPr>
            <w:r>
              <w:t>Appels ouverts</w:t>
            </w:r>
          </w:p>
        </w:tc>
        <w:tc>
          <w:tcPr>
            <w:tcW w:w="2588" w:type="dxa"/>
          </w:tcPr>
          <w:p w14:paraId="43851F2A" w14:textId="77777777" w:rsidR="00CB2117" w:rsidRDefault="00CB2117" w:rsidP="00CB2117">
            <w:pPr>
              <w:tabs>
                <w:tab w:val="left" w:pos="1307"/>
              </w:tabs>
              <w:jc w:val="both"/>
              <w:cnfStyle w:val="100000000000" w:firstRow="1" w:lastRow="0" w:firstColumn="0" w:lastColumn="0" w:oddVBand="0" w:evenVBand="0" w:oddHBand="0" w:evenHBand="0" w:firstRowFirstColumn="0" w:firstRowLastColumn="0" w:lastRowFirstColumn="0" w:lastRowLastColumn="0"/>
            </w:pPr>
            <w:r>
              <w:t>Défis</w:t>
            </w:r>
          </w:p>
        </w:tc>
        <w:tc>
          <w:tcPr>
            <w:tcW w:w="2349" w:type="dxa"/>
          </w:tcPr>
          <w:p w14:paraId="7BCB547F" w14:textId="53F6C08B" w:rsidR="00CB2117" w:rsidRDefault="00CB2117" w:rsidP="00CB2117">
            <w:pPr>
              <w:tabs>
                <w:tab w:val="left" w:pos="1307"/>
              </w:tabs>
              <w:jc w:val="both"/>
              <w:cnfStyle w:val="100000000000" w:firstRow="1" w:lastRow="0" w:firstColumn="0" w:lastColumn="0" w:oddVBand="0" w:evenVBand="0" w:oddHBand="0" w:evenHBand="0" w:firstRowFirstColumn="0" w:firstRowLastColumn="0" w:lastRowFirstColumn="0" w:lastRowLastColumn="0"/>
            </w:pPr>
            <w:r>
              <w:t>Subvention ad hoc</w:t>
            </w:r>
          </w:p>
        </w:tc>
      </w:tr>
      <w:tr w:rsidR="00CB2117" w14:paraId="4C1AD653" w14:textId="3E6ED7D1" w:rsidTr="00CB21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5" w:type="dxa"/>
          </w:tcPr>
          <w:p w14:paraId="0267F427" w14:textId="77777777" w:rsidR="00CB2117" w:rsidRPr="00580D1C" w:rsidRDefault="00CB2117" w:rsidP="00CB2117">
            <w:pPr>
              <w:tabs>
                <w:tab w:val="left" w:pos="1307"/>
              </w:tabs>
              <w:jc w:val="both"/>
              <w:rPr>
                <w:b w:val="0"/>
                <w:bCs w:val="0"/>
              </w:rPr>
            </w:pPr>
            <w:r>
              <w:t>Budget</w:t>
            </w:r>
          </w:p>
        </w:tc>
        <w:tc>
          <w:tcPr>
            <w:tcW w:w="2399" w:type="dxa"/>
          </w:tcPr>
          <w:p w14:paraId="690E3FFA" w14:textId="757AD047" w:rsidR="00CB2117" w:rsidRDefault="00CB2117" w:rsidP="00CB2117">
            <w:pPr>
              <w:tabs>
                <w:tab w:val="left" w:pos="1307"/>
              </w:tabs>
              <w:jc w:val="both"/>
              <w:cnfStyle w:val="000000100000" w:firstRow="0" w:lastRow="0" w:firstColumn="0" w:lastColumn="0" w:oddVBand="0" w:evenVBand="0" w:oddHBand="1" w:evenHBand="0" w:firstRowFirstColumn="0" w:firstRowLastColumn="0" w:lastRowFirstColumn="0" w:lastRowLastColumn="0"/>
            </w:pPr>
            <w:r>
              <w:t>59.6 millions €</w:t>
            </w:r>
          </w:p>
        </w:tc>
        <w:tc>
          <w:tcPr>
            <w:tcW w:w="2588" w:type="dxa"/>
          </w:tcPr>
          <w:p w14:paraId="62B9426C" w14:textId="3F9DD9A4" w:rsidR="00CB2117" w:rsidRDefault="00CB2117" w:rsidP="00CB2117">
            <w:pPr>
              <w:tabs>
                <w:tab w:val="left" w:pos="1307"/>
              </w:tabs>
              <w:jc w:val="both"/>
              <w:cnfStyle w:val="000000100000" w:firstRow="0" w:lastRow="0" w:firstColumn="0" w:lastColumn="0" w:oddVBand="0" w:evenVBand="0" w:oddHBand="1" w:evenHBand="0" w:firstRowFirstColumn="0" w:firstRowLastColumn="0" w:lastRowFirstColumn="0" w:lastRowLastColumn="0"/>
            </w:pPr>
            <w:r>
              <w:t>40.5 millions €</w:t>
            </w:r>
          </w:p>
        </w:tc>
        <w:tc>
          <w:tcPr>
            <w:tcW w:w="2349" w:type="dxa"/>
          </w:tcPr>
          <w:p w14:paraId="2FD856E9" w14:textId="2BE532C2" w:rsidR="00CB2117" w:rsidRDefault="00CB2117" w:rsidP="00CB2117">
            <w:pPr>
              <w:tabs>
                <w:tab w:val="left" w:pos="1307"/>
              </w:tabs>
              <w:jc w:val="both"/>
              <w:cnfStyle w:val="000000100000" w:firstRow="0" w:lastRow="0" w:firstColumn="0" w:lastColumn="0" w:oddVBand="0" w:evenVBand="0" w:oddHBand="1" w:evenHBand="0" w:firstRowFirstColumn="0" w:firstRowLastColumn="0" w:lastRowFirstColumn="0" w:lastRowLastColumn="0"/>
            </w:pPr>
            <w:r>
              <w:t>Max 1% de l’appel</w:t>
            </w:r>
          </w:p>
        </w:tc>
      </w:tr>
      <w:tr w:rsidR="00CB2117" w14:paraId="6328C9C7" w14:textId="4C314C2E" w:rsidTr="00CB2117">
        <w:tc>
          <w:tcPr>
            <w:cnfStyle w:val="001000000000" w:firstRow="0" w:lastRow="0" w:firstColumn="1" w:lastColumn="0" w:oddVBand="0" w:evenVBand="0" w:oddHBand="0" w:evenHBand="0" w:firstRowFirstColumn="0" w:firstRowLastColumn="0" w:lastRowFirstColumn="0" w:lastRowLastColumn="0"/>
            <w:tcW w:w="2445" w:type="dxa"/>
          </w:tcPr>
          <w:p w14:paraId="3C9CFA5B" w14:textId="77777777" w:rsidR="00CB2117" w:rsidRDefault="00CB2117" w:rsidP="00CB2117">
            <w:pPr>
              <w:tabs>
                <w:tab w:val="left" w:pos="1307"/>
              </w:tabs>
              <w:jc w:val="both"/>
            </w:pPr>
            <w:r>
              <w:t>Subvention/ projet</w:t>
            </w:r>
          </w:p>
        </w:tc>
        <w:tc>
          <w:tcPr>
            <w:tcW w:w="2399" w:type="dxa"/>
          </w:tcPr>
          <w:p w14:paraId="6D3D447B" w14:textId="4E110914" w:rsidR="00CB2117" w:rsidRDefault="00CB2117" w:rsidP="00CB2117">
            <w:pPr>
              <w:tabs>
                <w:tab w:val="left" w:pos="1307"/>
              </w:tabs>
              <w:jc w:val="both"/>
              <w:cnfStyle w:val="000000000000" w:firstRow="0" w:lastRow="0" w:firstColumn="0" w:lastColumn="0" w:oddVBand="0" w:evenVBand="0" w:oddHBand="0" w:evenHBand="0" w:firstRowFirstColumn="0" w:firstRowLastColumn="0" w:lastRowFirstColumn="0" w:lastRowLastColumn="0"/>
            </w:pPr>
            <w:r>
              <w:t>2.5 millions max.</w:t>
            </w:r>
          </w:p>
        </w:tc>
        <w:tc>
          <w:tcPr>
            <w:tcW w:w="2588" w:type="dxa"/>
          </w:tcPr>
          <w:p w14:paraId="62791133" w14:textId="60E543BC" w:rsidR="00CB2117" w:rsidRDefault="00CB2117" w:rsidP="00CB2117">
            <w:pPr>
              <w:tabs>
                <w:tab w:val="left" w:pos="1307"/>
              </w:tabs>
              <w:jc w:val="both"/>
              <w:cnfStyle w:val="000000000000" w:firstRow="0" w:lastRow="0" w:firstColumn="0" w:lastColumn="0" w:oddVBand="0" w:evenVBand="0" w:oddHBand="0" w:evenHBand="0" w:firstRowFirstColumn="0" w:firstRowLastColumn="0" w:lastRowFirstColumn="0" w:lastRowLastColumn="0"/>
            </w:pPr>
            <w:r>
              <w:t>2.5 millions</w:t>
            </w:r>
          </w:p>
        </w:tc>
        <w:tc>
          <w:tcPr>
            <w:tcW w:w="2349" w:type="dxa"/>
          </w:tcPr>
          <w:p w14:paraId="015BE9B8" w14:textId="4E19D140" w:rsidR="00CB2117" w:rsidRDefault="00CB2117" w:rsidP="00CB2117">
            <w:pPr>
              <w:tabs>
                <w:tab w:val="left" w:pos="1307"/>
              </w:tabs>
              <w:jc w:val="both"/>
              <w:cnfStyle w:val="000000000000" w:firstRow="0" w:lastRow="0" w:firstColumn="0" w:lastColumn="0" w:oddVBand="0" w:evenVBand="0" w:oddHBand="0" w:evenHBand="0" w:firstRowFirstColumn="0" w:firstRowLastColumn="0" w:lastRowFirstColumn="0" w:lastRowLastColumn="0"/>
            </w:pPr>
            <w:r>
              <w:t>50 000€ max.</w:t>
            </w:r>
          </w:p>
        </w:tc>
      </w:tr>
      <w:tr w:rsidR="00CB2117" w14:paraId="64C56D54" w14:textId="49923912" w:rsidTr="00CB21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5" w:type="dxa"/>
          </w:tcPr>
          <w:p w14:paraId="2ED1BC13" w14:textId="77777777" w:rsidR="00CB2117" w:rsidRDefault="00CB2117" w:rsidP="00CB2117">
            <w:pPr>
              <w:tabs>
                <w:tab w:val="left" w:pos="1307"/>
              </w:tabs>
              <w:jc w:val="both"/>
            </w:pPr>
            <w:r>
              <w:t>Pourcentage</w:t>
            </w:r>
          </w:p>
        </w:tc>
        <w:tc>
          <w:tcPr>
            <w:tcW w:w="2399" w:type="dxa"/>
          </w:tcPr>
          <w:p w14:paraId="3F28E424" w14:textId="36756A95" w:rsidR="00CB2117" w:rsidRDefault="00CB2117" w:rsidP="00CB2117">
            <w:pPr>
              <w:tabs>
                <w:tab w:val="left" w:pos="1307"/>
              </w:tabs>
              <w:jc w:val="both"/>
              <w:cnfStyle w:val="000000100000" w:firstRow="0" w:lastRow="0" w:firstColumn="0" w:lastColumn="0" w:oddVBand="0" w:evenVBand="0" w:oddHBand="1" w:evenHBand="0" w:firstRowFirstColumn="0" w:firstRowLastColumn="0" w:lastRowFirstColumn="0" w:lastRowLastColumn="0"/>
            </w:pPr>
            <w:r>
              <w:t>100 % des coûts éligibles</w:t>
            </w:r>
          </w:p>
        </w:tc>
        <w:tc>
          <w:tcPr>
            <w:tcW w:w="2588" w:type="dxa"/>
          </w:tcPr>
          <w:p w14:paraId="1EC51E9C" w14:textId="0AFEACFF" w:rsidR="00CB2117" w:rsidRDefault="00CB2117" w:rsidP="00CB2117">
            <w:pPr>
              <w:tabs>
                <w:tab w:val="left" w:pos="1307"/>
              </w:tabs>
              <w:jc w:val="both"/>
              <w:cnfStyle w:val="000000100000" w:firstRow="0" w:lastRow="0" w:firstColumn="0" w:lastColumn="0" w:oddVBand="0" w:evenVBand="0" w:oddHBand="1" w:evenHBand="0" w:firstRowFirstColumn="0" w:firstRowLastColumn="0" w:lastRowFirstColumn="0" w:lastRowLastColumn="0"/>
            </w:pPr>
            <w:r>
              <w:t>100 % des coûts éligibles</w:t>
            </w:r>
          </w:p>
        </w:tc>
        <w:tc>
          <w:tcPr>
            <w:tcW w:w="2349" w:type="dxa"/>
          </w:tcPr>
          <w:p w14:paraId="3689D7BF" w14:textId="4F7D67C1" w:rsidR="00CB2117" w:rsidRDefault="00CB2117" w:rsidP="00CB2117">
            <w:pPr>
              <w:tabs>
                <w:tab w:val="left" w:pos="1307"/>
              </w:tabs>
              <w:jc w:val="both"/>
              <w:cnfStyle w:val="000000100000" w:firstRow="0" w:lastRow="0" w:firstColumn="0" w:lastColumn="0" w:oddVBand="0" w:evenVBand="0" w:oddHBand="1" w:evenHBand="0" w:firstRowFirstColumn="0" w:firstRowLastColumn="0" w:lastRowFirstColumn="0" w:lastRowLastColumn="0"/>
            </w:pPr>
            <w:r>
              <w:t>Forfait</w:t>
            </w:r>
          </w:p>
        </w:tc>
      </w:tr>
      <w:tr w:rsidR="00CB2117" w14:paraId="07045F6F" w14:textId="7BF748B8" w:rsidTr="00CB2117">
        <w:tc>
          <w:tcPr>
            <w:cnfStyle w:val="001000000000" w:firstRow="0" w:lastRow="0" w:firstColumn="1" w:lastColumn="0" w:oddVBand="0" w:evenVBand="0" w:oddHBand="0" w:evenHBand="0" w:firstRowFirstColumn="0" w:firstRowLastColumn="0" w:lastRowFirstColumn="0" w:lastRowLastColumn="0"/>
            <w:tcW w:w="2445" w:type="dxa"/>
          </w:tcPr>
          <w:p w14:paraId="050011D3" w14:textId="77777777" w:rsidR="00CB2117" w:rsidRDefault="00CB2117" w:rsidP="00CB2117">
            <w:pPr>
              <w:tabs>
                <w:tab w:val="left" w:pos="1307"/>
              </w:tabs>
              <w:jc w:val="both"/>
            </w:pPr>
            <w:r>
              <w:t>Ouverture de l’appel</w:t>
            </w:r>
          </w:p>
        </w:tc>
        <w:tc>
          <w:tcPr>
            <w:tcW w:w="2399" w:type="dxa"/>
          </w:tcPr>
          <w:p w14:paraId="6EB88B1D" w14:textId="7ED628DE" w:rsidR="00CB2117" w:rsidRDefault="00CB2117" w:rsidP="00CB2117">
            <w:pPr>
              <w:tabs>
                <w:tab w:val="left" w:pos="1307"/>
              </w:tabs>
              <w:jc w:val="both"/>
              <w:cnfStyle w:val="000000000000" w:firstRow="0" w:lastRow="0" w:firstColumn="0" w:lastColumn="0" w:oddVBand="0" w:evenVBand="0" w:oddHBand="0" w:evenHBand="0" w:firstRowFirstColumn="0" w:firstRowLastColumn="0" w:lastRowFirstColumn="0" w:lastRowLastColumn="0"/>
            </w:pPr>
            <w:r>
              <w:t>15 avril 2021</w:t>
            </w:r>
          </w:p>
        </w:tc>
        <w:tc>
          <w:tcPr>
            <w:tcW w:w="2588" w:type="dxa"/>
          </w:tcPr>
          <w:p w14:paraId="38BDD1F8" w14:textId="16AD948D" w:rsidR="00CB2117" w:rsidRDefault="00CB2117" w:rsidP="00CB2117">
            <w:pPr>
              <w:tabs>
                <w:tab w:val="left" w:pos="1307"/>
              </w:tabs>
              <w:jc w:val="both"/>
              <w:cnfStyle w:val="000000000000" w:firstRow="0" w:lastRow="0" w:firstColumn="0" w:lastColumn="0" w:oddVBand="0" w:evenVBand="0" w:oddHBand="0" w:evenHBand="0" w:firstRowFirstColumn="0" w:firstRowLastColumn="0" w:lastRowFirstColumn="0" w:lastRowLastColumn="0"/>
            </w:pPr>
            <w:r>
              <w:t>15 mai 2021</w:t>
            </w:r>
          </w:p>
        </w:tc>
        <w:tc>
          <w:tcPr>
            <w:tcW w:w="2349" w:type="dxa"/>
          </w:tcPr>
          <w:p w14:paraId="203F44AD" w14:textId="77777777" w:rsidR="00CB2117" w:rsidRDefault="00CB2117" w:rsidP="00CB2117">
            <w:pPr>
              <w:tabs>
                <w:tab w:val="left" w:pos="1307"/>
              </w:tabs>
              <w:jc w:val="both"/>
              <w:cnfStyle w:val="000000000000" w:firstRow="0" w:lastRow="0" w:firstColumn="0" w:lastColumn="0" w:oddVBand="0" w:evenVBand="0" w:oddHBand="0" w:evenHBand="0" w:firstRowFirstColumn="0" w:firstRowLastColumn="0" w:lastRowFirstColumn="0" w:lastRowLastColumn="0"/>
            </w:pPr>
          </w:p>
        </w:tc>
      </w:tr>
      <w:tr w:rsidR="00CB2117" w14:paraId="1D0B9003" w14:textId="363A5EAA" w:rsidTr="00CB21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5" w:type="dxa"/>
          </w:tcPr>
          <w:p w14:paraId="4DCDCE76" w14:textId="77777777" w:rsidR="00CB2117" w:rsidRDefault="00CB2117" w:rsidP="00CB2117">
            <w:pPr>
              <w:tabs>
                <w:tab w:val="left" w:pos="1307"/>
              </w:tabs>
              <w:jc w:val="both"/>
            </w:pPr>
            <w:r>
              <w:t>Clôture de l’appel</w:t>
            </w:r>
          </w:p>
        </w:tc>
        <w:tc>
          <w:tcPr>
            <w:tcW w:w="4987" w:type="dxa"/>
            <w:gridSpan w:val="2"/>
          </w:tcPr>
          <w:p w14:paraId="358109EC" w14:textId="1C7EE53A" w:rsidR="00CB2117" w:rsidRDefault="00CB2117" w:rsidP="00CB2117">
            <w:pPr>
              <w:tabs>
                <w:tab w:val="left" w:pos="1307"/>
              </w:tabs>
              <w:jc w:val="center"/>
              <w:cnfStyle w:val="000000100000" w:firstRow="0" w:lastRow="0" w:firstColumn="0" w:lastColumn="0" w:oddVBand="0" w:evenVBand="0" w:oddHBand="1" w:evenHBand="0" w:firstRowFirstColumn="0" w:firstRowLastColumn="0" w:lastRowFirstColumn="0" w:lastRowLastColumn="0"/>
            </w:pPr>
            <w:r>
              <w:t>22 septembre 2021</w:t>
            </w:r>
          </w:p>
        </w:tc>
        <w:tc>
          <w:tcPr>
            <w:tcW w:w="2349" w:type="dxa"/>
          </w:tcPr>
          <w:p w14:paraId="2CB137CB" w14:textId="77777777" w:rsidR="00CB2117" w:rsidRDefault="00CB2117" w:rsidP="00CB2117">
            <w:pPr>
              <w:tabs>
                <w:tab w:val="left" w:pos="1307"/>
              </w:tabs>
              <w:jc w:val="center"/>
              <w:cnfStyle w:val="000000100000" w:firstRow="0" w:lastRow="0" w:firstColumn="0" w:lastColumn="0" w:oddVBand="0" w:evenVBand="0" w:oddHBand="1" w:evenHBand="0" w:firstRowFirstColumn="0" w:firstRowLastColumn="0" w:lastRowFirstColumn="0" w:lastRowLastColumn="0"/>
            </w:pPr>
          </w:p>
        </w:tc>
      </w:tr>
      <w:tr w:rsidR="00CB2117" w14:paraId="1A826F53" w14:textId="74C41DF3" w:rsidTr="00CB2117">
        <w:tc>
          <w:tcPr>
            <w:cnfStyle w:val="001000000000" w:firstRow="0" w:lastRow="0" w:firstColumn="1" w:lastColumn="0" w:oddVBand="0" w:evenVBand="0" w:oddHBand="0" w:evenHBand="0" w:firstRowFirstColumn="0" w:firstRowLastColumn="0" w:lastRowFirstColumn="0" w:lastRowLastColumn="0"/>
            <w:tcW w:w="2445" w:type="dxa"/>
          </w:tcPr>
          <w:p w14:paraId="5FA08F97" w14:textId="77777777" w:rsidR="00CB2117" w:rsidRDefault="00CB2117" w:rsidP="00CB2117">
            <w:pPr>
              <w:tabs>
                <w:tab w:val="left" w:pos="1307"/>
              </w:tabs>
              <w:jc w:val="both"/>
            </w:pPr>
            <w:r>
              <w:t>Longueur</w:t>
            </w:r>
          </w:p>
        </w:tc>
        <w:tc>
          <w:tcPr>
            <w:tcW w:w="4987" w:type="dxa"/>
            <w:gridSpan w:val="2"/>
          </w:tcPr>
          <w:p w14:paraId="0D67D935" w14:textId="0C8E43F3" w:rsidR="00CB2117" w:rsidRDefault="00CB2117" w:rsidP="00CB2117">
            <w:pPr>
              <w:tabs>
                <w:tab w:val="left" w:pos="1307"/>
              </w:tabs>
              <w:jc w:val="center"/>
              <w:cnfStyle w:val="000000000000" w:firstRow="0" w:lastRow="0" w:firstColumn="0" w:lastColumn="0" w:oddVBand="0" w:evenVBand="0" w:oddHBand="0" w:evenHBand="0" w:firstRowFirstColumn="0" w:firstRowLastColumn="0" w:lastRowFirstColumn="0" w:lastRowLastColumn="0"/>
            </w:pPr>
            <w:r>
              <w:t>25 pages</w:t>
            </w:r>
          </w:p>
        </w:tc>
        <w:tc>
          <w:tcPr>
            <w:tcW w:w="2349" w:type="dxa"/>
          </w:tcPr>
          <w:p w14:paraId="5823F6D7" w14:textId="77777777" w:rsidR="00CB2117" w:rsidRDefault="00CB2117" w:rsidP="00CB2117">
            <w:pPr>
              <w:tabs>
                <w:tab w:val="left" w:pos="1307"/>
              </w:tabs>
              <w:jc w:val="center"/>
              <w:cnfStyle w:val="000000000000" w:firstRow="0" w:lastRow="0" w:firstColumn="0" w:lastColumn="0" w:oddVBand="0" w:evenVBand="0" w:oddHBand="0" w:evenHBand="0" w:firstRowFirstColumn="0" w:firstRowLastColumn="0" w:lastRowFirstColumn="0" w:lastRowLastColumn="0"/>
            </w:pPr>
          </w:p>
        </w:tc>
      </w:tr>
      <w:tr w:rsidR="006F7E8F" w14:paraId="27C8D687" w14:textId="77777777" w:rsidTr="00CB21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5" w:type="dxa"/>
          </w:tcPr>
          <w:p w14:paraId="5B89BBFC" w14:textId="10AF623C" w:rsidR="006F7E8F" w:rsidRDefault="006F7E8F" w:rsidP="00CB2117">
            <w:pPr>
              <w:tabs>
                <w:tab w:val="left" w:pos="1307"/>
              </w:tabs>
              <w:jc w:val="both"/>
            </w:pPr>
            <w:r>
              <w:t>Dépôt</w:t>
            </w:r>
          </w:p>
        </w:tc>
        <w:tc>
          <w:tcPr>
            <w:tcW w:w="4987" w:type="dxa"/>
            <w:gridSpan w:val="2"/>
          </w:tcPr>
          <w:p w14:paraId="4DFDA9E8" w14:textId="72C21C6C" w:rsidR="006F7E8F" w:rsidRDefault="006F7E8F" w:rsidP="00CB2117">
            <w:pPr>
              <w:tabs>
                <w:tab w:val="left" w:pos="1307"/>
              </w:tabs>
              <w:jc w:val="center"/>
              <w:cnfStyle w:val="000000100000" w:firstRow="0" w:lastRow="0" w:firstColumn="0" w:lastColumn="0" w:oddVBand="0" w:evenVBand="0" w:oddHBand="1" w:evenHBand="0" w:firstRowFirstColumn="0" w:firstRowLastColumn="0" w:lastRowFirstColumn="0" w:lastRowLastColumn="0"/>
            </w:pPr>
            <w:r>
              <w:t>Une étape</w:t>
            </w:r>
          </w:p>
        </w:tc>
        <w:tc>
          <w:tcPr>
            <w:tcW w:w="2349" w:type="dxa"/>
          </w:tcPr>
          <w:p w14:paraId="176C10AF" w14:textId="77777777" w:rsidR="006F7E8F" w:rsidRDefault="006F7E8F" w:rsidP="00CB2117">
            <w:pPr>
              <w:tabs>
                <w:tab w:val="left" w:pos="1307"/>
              </w:tabs>
              <w:jc w:val="center"/>
              <w:cnfStyle w:val="000000100000" w:firstRow="0" w:lastRow="0" w:firstColumn="0" w:lastColumn="0" w:oddVBand="0" w:evenVBand="0" w:oddHBand="1" w:evenHBand="0" w:firstRowFirstColumn="0" w:firstRowLastColumn="0" w:lastRowFirstColumn="0" w:lastRowLastColumn="0"/>
            </w:pPr>
          </w:p>
        </w:tc>
      </w:tr>
      <w:tr w:rsidR="00CB2117" w:rsidRPr="00B86FFB" w14:paraId="3C9E1844" w14:textId="6C778453" w:rsidTr="00CB2117">
        <w:tc>
          <w:tcPr>
            <w:cnfStyle w:val="001000000000" w:firstRow="0" w:lastRow="0" w:firstColumn="1" w:lastColumn="0" w:oddVBand="0" w:evenVBand="0" w:oddHBand="0" w:evenHBand="0" w:firstRowFirstColumn="0" w:firstRowLastColumn="0" w:lastRowFirstColumn="0" w:lastRowLastColumn="0"/>
            <w:tcW w:w="2445" w:type="dxa"/>
          </w:tcPr>
          <w:p w14:paraId="18F57FFF" w14:textId="77777777" w:rsidR="00CB2117" w:rsidRDefault="00CB2117" w:rsidP="00CB2117">
            <w:pPr>
              <w:tabs>
                <w:tab w:val="left" w:pos="1307"/>
              </w:tabs>
              <w:jc w:val="both"/>
            </w:pPr>
            <w:r>
              <w:t>Partenariat</w:t>
            </w:r>
          </w:p>
        </w:tc>
        <w:tc>
          <w:tcPr>
            <w:tcW w:w="4987" w:type="dxa"/>
            <w:gridSpan w:val="2"/>
          </w:tcPr>
          <w:p w14:paraId="26A4429E" w14:textId="2A0F5D3B" w:rsidR="00CB2117" w:rsidRPr="00E57782" w:rsidRDefault="00CB2117" w:rsidP="00CB2117">
            <w:pPr>
              <w:tabs>
                <w:tab w:val="left" w:pos="1307"/>
              </w:tabs>
              <w:jc w:val="center"/>
              <w:cnfStyle w:val="000000000000" w:firstRow="0" w:lastRow="0" w:firstColumn="0" w:lastColumn="0" w:oddVBand="0" w:evenVBand="0" w:oddHBand="0" w:evenHBand="0" w:firstRowFirstColumn="0" w:firstRowLastColumn="0" w:lastRowFirstColumn="0" w:lastRowLastColumn="0"/>
            </w:pPr>
            <w:r>
              <w:t xml:space="preserve">Monopartenaire ou petit consortium (jusqu’à 3). </w:t>
            </w:r>
            <w:r w:rsidR="00251E6D">
              <w:t xml:space="preserve">Le porteur doit être une </w:t>
            </w:r>
            <w:r w:rsidR="00B86FFB" w:rsidRPr="00E57782">
              <w:t>PME ou start-up uniquement.</w:t>
            </w:r>
          </w:p>
        </w:tc>
        <w:tc>
          <w:tcPr>
            <w:tcW w:w="2349" w:type="dxa"/>
          </w:tcPr>
          <w:p w14:paraId="78744B9D" w14:textId="77777777" w:rsidR="00CB2117" w:rsidRPr="00E57782" w:rsidRDefault="00CB2117" w:rsidP="00CB2117">
            <w:pPr>
              <w:tabs>
                <w:tab w:val="left" w:pos="1307"/>
              </w:tabs>
              <w:jc w:val="center"/>
              <w:cnfStyle w:val="000000000000" w:firstRow="0" w:lastRow="0" w:firstColumn="0" w:lastColumn="0" w:oddVBand="0" w:evenVBand="0" w:oddHBand="0" w:evenHBand="0" w:firstRowFirstColumn="0" w:firstRowLastColumn="0" w:lastRowFirstColumn="0" w:lastRowLastColumn="0"/>
            </w:pPr>
          </w:p>
        </w:tc>
      </w:tr>
    </w:tbl>
    <w:p w14:paraId="6EF69AF0" w14:textId="5D03DA27" w:rsidR="006B0084" w:rsidRDefault="006B0084" w:rsidP="00746390">
      <w:pPr>
        <w:pBdr>
          <w:top w:val="nil"/>
          <w:left w:val="nil"/>
          <w:bottom w:val="nil"/>
          <w:right w:val="nil"/>
          <w:between w:val="nil"/>
        </w:pBdr>
        <w:tabs>
          <w:tab w:val="left" w:pos="1307"/>
        </w:tabs>
        <w:jc w:val="both"/>
      </w:pPr>
    </w:p>
    <w:p w14:paraId="4CA3FEC3" w14:textId="77777777" w:rsidR="00301111" w:rsidRPr="00E57782" w:rsidRDefault="00301111" w:rsidP="00746390">
      <w:pPr>
        <w:pBdr>
          <w:top w:val="nil"/>
          <w:left w:val="nil"/>
          <w:bottom w:val="nil"/>
          <w:right w:val="nil"/>
          <w:between w:val="nil"/>
        </w:pBdr>
        <w:tabs>
          <w:tab w:val="left" w:pos="1307"/>
        </w:tabs>
        <w:jc w:val="both"/>
      </w:pPr>
    </w:p>
    <w:p w14:paraId="521A9E87" w14:textId="029F86FD" w:rsidR="006B0084" w:rsidRPr="00E171E7" w:rsidRDefault="00DF6625" w:rsidP="009252F7">
      <w:pPr>
        <w:pStyle w:val="Paragraphedeliste"/>
        <w:numPr>
          <w:ilvl w:val="0"/>
          <w:numId w:val="6"/>
        </w:numPr>
        <w:rPr>
          <w:b/>
          <w:bCs/>
          <w:color w:val="403152" w:themeColor="accent4" w:themeShade="80"/>
          <w:u w:val="single"/>
        </w:rPr>
      </w:pPr>
      <w:r w:rsidRPr="00E171E7">
        <w:rPr>
          <w:b/>
          <w:bCs/>
          <w:color w:val="403152" w:themeColor="accent4" w:themeShade="80"/>
          <w:u w:val="single"/>
        </w:rPr>
        <w:t>Instrument</w:t>
      </w:r>
      <w:r w:rsidR="006B0084" w:rsidRPr="00E171E7">
        <w:rPr>
          <w:b/>
          <w:bCs/>
          <w:color w:val="403152" w:themeColor="accent4" w:themeShade="80"/>
          <w:u w:val="single"/>
        </w:rPr>
        <w:t xml:space="preserve"> Accélérateur</w:t>
      </w:r>
    </w:p>
    <w:p w14:paraId="42D4F89A" w14:textId="2205A2AD" w:rsidR="006B0084" w:rsidRDefault="006B0084" w:rsidP="00746390">
      <w:pPr>
        <w:pBdr>
          <w:top w:val="nil"/>
          <w:left w:val="nil"/>
          <w:bottom w:val="nil"/>
          <w:right w:val="nil"/>
          <w:between w:val="nil"/>
        </w:pBdr>
        <w:tabs>
          <w:tab w:val="left" w:pos="1307"/>
        </w:tabs>
        <w:jc w:val="both"/>
      </w:pPr>
    </w:p>
    <w:p w14:paraId="4D3E9885" w14:textId="179C64C1" w:rsidR="00AC578E" w:rsidRDefault="007B6A35" w:rsidP="00746390">
      <w:pPr>
        <w:pBdr>
          <w:top w:val="nil"/>
          <w:left w:val="nil"/>
          <w:bottom w:val="nil"/>
          <w:right w:val="nil"/>
          <w:between w:val="nil"/>
        </w:pBdr>
        <w:tabs>
          <w:tab w:val="left" w:pos="1307"/>
        </w:tabs>
        <w:jc w:val="both"/>
      </w:pPr>
      <w:r>
        <w:t xml:space="preserve">Les projets devront partir de TRL 5-6 et terminer </w:t>
      </w:r>
      <w:r w:rsidR="00CB0FB2">
        <w:t>à</w:t>
      </w:r>
      <w:r>
        <w:t xml:space="preserve"> TRL 8 ou 9. Selon si le projet se termine </w:t>
      </w:r>
      <w:r w:rsidR="00CB0FB2">
        <w:t xml:space="preserve">au </w:t>
      </w:r>
      <w:r>
        <w:t>TRL</w:t>
      </w:r>
      <w:r w:rsidR="009B2FDE">
        <w:t xml:space="preserve"> </w:t>
      </w:r>
      <w:r>
        <w:t xml:space="preserve">8 il </w:t>
      </w:r>
      <w:r w:rsidR="00CB0FB2">
        <w:t xml:space="preserve">ne </w:t>
      </w:r>
      <w:r>
        <w:t xml:space="preserve">sera financé </w:t>
      </w:r>
      <w:r w:rsidR="00CB0FB2">
        <w:t xml:space="preserve">que </w:t>
      </w:r>
      <w:r>
        <w:t xml:space="preserve">par subvention ; </w:t>
      </w:r>
      <w:r w:rsidR="00CB0FB2">
        <w:t xml:space="preserve">s’il va au-delà (TRL9) </w:t>
      </w:r>
      <w:r>
        <w:t>les activités lié</w:t>
      </w:r>
      <w:r w:rsidR="00CB0FB2">
        <w:t>es</w:t>
      </w:r>
      <w:r>
        <w:t xml:space="preserve"> au déploiement économique ne pourront être couvert</w:t>
      </w:r>
      <w:r w:rsidR="005433ED">
        <w:t>es</w:t>
      </w:r>
      <w:r>
        <w:t xml:space="preserve"> que par investissement au capital.</w:t>
      </w:r>
      <w:r w:rsidR="00CB0FB2">
        <w:t xml:space="preserve"> Un projet pourra donc n’obtenir qu’une subvention, ou bien un apport mixte subvention et apport au capital.</w:t>
      </w:r>
    </w:p>
    <w:p w14:paraId="09EA698E" w14:textId="00E0168D" w:rsidR="007B6A35" w:rsidRDefault="007B6A35" w:rsidP="00746390">
      <w:pPr>
        <w:pBdr>
          <w:top w:val="nil"/>
          <w:left w:val="nil"/>
          <w:bottom w:val="nil"/>
          <w:right w:val="nil"/>
          <w:between w:val="nil"/>
        </w:pBdr>
        <w:tabs>
          <w:tab w:val="left" w:pos="1307"/>
        </w:tabs>
        <w:jc w:val="both"/>
      </w:pPr>
    </w:p>
    <w:p w14:paraId="7823B8D3" w14:textId="77777777" w:rsidR="00444373" w:rsidRDefault="007B6A35" w:rsidP="00746390">
      <w:pPr>
        <w:pBdr>
          <w:top w:val="nil"/>
          <w:left w:val="nil"/>
          <w:bottom w:val="nil"/>
          <w:right w:val="nil"/>
          <w:between w:val="nil"/>
        </w:pBdr>
        <w:tabs>
          <w:tab w:val="left" w:pos="1307"/>
        </w:tabs>
        <w:jc w:val="both"/>
      </w:pPr>
      <w:r>
        <w:t xml:space="preserve">Les subventions vont </w:t>
      </w:r>
      <w:r w:rsidR="007F6373">
        <w:t>jusqu’à</w:t>
      </w:r>
      <w:r>
        <w:t xml:space="preserve"> 2.5 millions d’euros maximum, et jusqu’à 70% des coûts éligibles maximum.</w:t>
      </w:r>
    </w:p>
    <w:p w14:paraId="0EBB9FF2" w14:textId="71877DFD" w:rsidR="007B6A35" w:rsidRDefault="007B6A35" w:rsidP="00746390">
      <w:pPr>
        <w:pBdr>
          <w:top w:val="nil"/>
          <w:left w:val="nil"/>
          <w:bottom w:val="nil"/>
          <w:right w:val="nil"/>
          <w:between w:val="nil"/>
        </w:pBdr>
        <w:tabs>
          <w:tab w:val="left" w:pos="1307"/>
        </w:tabs>
        <w:jc w:val="both"/>
      </w:pPr>
      <w:r>
        <w:t>L’</w:t>
      </w:r>
      <w:r w:rsidR="00444373">
        <w:t>entrée au capital</w:t>
      </w:r>
      <w:r>
        <w:t xml:space="preserve"> pourra aller de 500 000 € à 15 millions</w:t>
      </w:r>
      <w:r w:rsidR="005433ED">
        <w:t xml:space="preserve"> €</w:t>
      </w:r>
      <w:r>
        <w:t xml:space="preserve">, mais </w:t>
      </w:r>
      <w:r w:rsidR="00444373">
        <w:t>devra rester</w:t>
      </w:r>
      <w:r>
        <w:t xml:space="preserve"> en dessous de 25% des actions avec droit de vote. Le but n’est pas de maximiser un retour sur investissement, mais plutôt de rassurer les investisseurs privés pour qu’il</w:t>
      </w:r>
      <w:r w:rsidR="00444373">
        <w:t>s</w:t>
      </w:r>
      <w:r>
        <w:t xml:space="preserve"> prenne</w:t>
      </w:r>
      <w:r w:rsidR="00444373">
        <w:t>nt</w:t>
      </w:r>
      <w:r>
        <w:t xml:space="preserve"> </w:t>
      </w:r>
      <w:r w:rsidR="00444373">
        <w:t xml:space="preserve">ensuite </w:t>
      </w:r>
      <w:r>
        <w:t>le relai (</w:t>
      </w:r>
      <w:r w:rsidR="00444373">
        <w:t xml:space="preserve">durée prévue de </w:t>
      </w:r>
      <w:r>
        <w:t>7 à 10 ans).</w:t>
      </w:r>
    </w:p>
    <w:p w14:paraId="75F94938" w14:textId="777AE25A" w:rsidR="00E171E7" w:rsidRDefault="00E171E7" w:rsidP="00746390">
      <w:pPr>
        <w:pBdr>
          <w:top w:val="nil"/>
          <w:left w:val="nil"/>
          <w:bottom w:val="nil"/>
          <w:right w:val="nil"/>
          <w:between w:val="nil"/>
        </w:pBdr>
        <w:tabs>
          <w:tab w:val="left" w:pos="1307"/>
        </w:tabs>
        <w:jc w:val="both"/>
      </w:pPr>
    </w:p>
    <w:p w14:paraId="404A7E06" w14:textId="77777777" w:rsidR="00E171E7" w:rsidRDefault="00E171E7" w:rsidP="00746390">
      <w:pPr>
        <w:pBdr>
          <w:top w:val="nil"/>
          <w:left w:val="nil"/>
          <w:bottom w:val="nil"/>
          <w:right w:val="nil"/>
          <w:between w:val="nil"/>
        </w:pBdr>
        <w:tabs>
          <w:tab w:val="left" w:pos="1307"/>
        </w:tabs>
        <w:jc w:val="both"/>
      </w:pPr>
    </w:p>
    <w:p w14:paraId="0C14655B" w14:textId="54B0C353" w:rsidR="00DF6625" w:rsidRPr="00E171E7" w:rsidRDefault="00DF6625" w:rsidP="005433ED">
      <w:pPr>
        <w:pStyle w:val="EnvTitreparagraphe"/>
      </w:pPr>
      <w:r w:rsidRPr="00E171E7">
        <w:lastRenderedPageBreak/>
        <w:t>Accélérateur – Appel ouvert</w:t>
      </w:r>
    </w:p>
    <w:p w14:paraId="217133BF" w14:textId="12D18CD4" w:rsidR="002121BC" w:rsidRDefault="002121BC" w:rsidP="00DF6625">
      <w:pPr>
        <w:pBdr>
          <w:top w:val="nil"/>
          <w:left w:val="nil"/>
          <w:bottom w:val="nil"/>
          <w:right w:val="nil"/>
          <w:between w:val="nil"/>
        </w:pBdr>
        <w:tabs>
          <w:tab w:val="left" w:pos="1307"/>
        </w:tabs>
        <w:jc w:val="both"/>
      </w:pPr>
      <w:r>
        <w:t xml:space="preserve">Le dépôt de ces projets suit une procédure différente, avec une soumission en </w:t>
      </w:r>
      <w:r w:rsidR="00EE1D01">
        <w:t xml:space="preserve">trois étapes : </w:t>
      </w:r>
    </w:p>
    <w:p w14:paraId="3FB608FD" w14:textId="08B79CD8" w:rsidR="002121BC" w:rsidRDefault="002121BC" w:rsidP="009252F7">
      <w:pPr>
        <w:pStyle w:val="Paragraphedeliste"/>
        <w:numPr>
          <w:ilvl w:val="0"/>
          <w:numId w:val="18"/>
        </w:numPr>
        <w:pBdr>
          <w:top w:val="nil"/>
          <w:left w:val="nil"/>
          <w:bottom w:val="nil"/>
          <w:right w:val="nil"/>
          <w:between w:val="nil"/>
        </w:pBdr>
        <w:tabs>
          <w:tab w:val="left" w:pos="1307"/>
        </w:tabs>
        <w:jc w:val="both"/>
      </w:pPr>
      <w:r>
        <w:t>E</w:t>
      </w:r>
      <w:r w:rsidR="00EE1D01">
        <w:t xml:space="preserve">nvoi d’une « short application » sans date limite. </w:t>
      </w:r>
    </w:p>
    <w:p w14:paraId="67BCB248" w14:textId="7037C9B3" w:rsidR="002121BC" w:rsidRDefault="00EE1D01" w:rsidP="009252F7">
      <w:pPr>
        <w:pStyle w:val="Paragraphedeliste"/>
        <w:numPr>
          <w:ilvl w:val="0"/>
          <w:numId w:val="18"/>
        </w:numPr>
        <w:pBdr>
          <w:top w:val="nil"/>
          <w:left w:val="nil"/>
          <w:bottom w:val="nil"/>
          <w:right w:val="nil"/>
          <w:between w:val="nil"/>
        </w:pBdr>
        <w:tabs>
          <w:tab w:val="left" w:pos="1307"/>
        </w:tabs>
        <w:jc w:val="both"/>
      </w:pPr>
      <w:r>
        <w:t xml:space="preserve">Si retenue, envoi d’une proposition complète, avec </w:t>
      </w:r>
      <w:r w:rsidR="008951C3">
        <w:t>2 échéances par an (16 juin et 6 octobre 2021)</w:t>
      </w:r>
      <w:r>
        <w:t xml:space="preserve">. </w:t>
      </w:r>
    </w:p>
    <w:p w14:paraId="0FBFA1F2" w14:textId="4583AE26" w:rsidR="005C5F75" w:rsidRDefault="00EE1D01" w:rsidP="009252F7">
      <w:pPr>
        <w:pStyle w:val="Paragraphedeliste"/>
        <w:numPr>
          <w:ilvl w:val="0"/>
          <w:numId w:val="18"/>
        </w:numPr>
        <w:pBdr>
          <w:top w:val="nil"/>
          <w:left w:val="nil"/>
          <w:bottom w:val="nil"/>
          <w:right w:val="nil"/>
          <w:between w:val="nil"/>
        </w:pBdr>
        <w:tabs>
          <w:tab w:val="left" w:pos="1307"/>
        </w:tabs>
        <w:jc w:val="both"/>
      </w:pPr>
      <w:r>
        <w:t>Si retenu, entretien avec un jury</w:t>
      </w:r>
      <w:r w:rsidR="005C5F75">
        <w:t>.</w:t>
      </w:r>
    </w:p>
    <w:p w14:paraId="20E0DCD7" w14:textId="77777777" w:rsidR="002121BC" w:rsidRDefault="002121BC" w:rsidP="005C5F75">
      <w:pPr>
        <w:pBdr>
          <w:top w:val="nil"/>
          <w:left w:val="nil"/>
          <w:bottom w:val="nil"/>
          <w:right w:val="nil"/>
          <w:between w:val="nil"/>
        </w:pBdr>
        <w:tabs>
          <w:tab w:val="left" w:pos="1307"/>
        </w:tabs>
        <w:jc w:val="both"/>
      </w:pPr>
    </w:p>
    <w:p w14:paraId="0049BDAE" w14:textId="77777777" w:rsidR="0045365C" w:rsidRDefault="0045365C" w:rsidP="0045365C">
      <w:pPr>
        <w:pBdr>
          <w:top w:val="nil"/>
          <w:left w:val="nil"/>
          <w:bottom w:val="nil"/>
          <w:right w:val="nil"/>
          <w:between w:val="nil"/>
        </w:pBdr>
        <w:tabs>
          <w:tab w:val="left" w:pos="1307"/>
        </w:tabs>
        <w:jc w:val="both"/>
      </w:pPr>
      <w:r>
        <w:t>Contenu de la proposition :</w:t>
      </w:r>
    </w:p>
    <w:p w14:paraId="27FE7EC0" w14:textId="35BECB38" w:rsidR="0045365C" w:rsidRDefault="0045365C" w:rsidP="009252F7">
      <w:pPr>
        <w:pStyle w:val="Paragraphedeliste"/>
        <w:numPr>
          <w:ilvl w:val="0"/>
          <w:numId w:val="8"/>
        </w:numPr>
        <w:pBdr>
          <w:top w:val="nil"/>
          <w:left w:val="nil"/>
          <w:bottom w:val="nil"/>
          <w:right w:val="nil"/>
          <w:between w:val="nil"/>
        </w:pBdr>
        <w:tabs>
          <w:tab w:val="left" w:pos="1307"/>
        </w:tabs>
        <w:jc w:val="both"/>
      </w:pPr>
      <w:r>
        <w:t>1</w:t>
      </w:r>
      <w:r w:rsidRPr="0045365C">
        <w:rPr>
          <w:vertAlign w:val="superscript"/>
        </w:rPr>
        <w:t>ère</w:t>
      </w:r>
      <w:r>
        <w:t xml:space="preserve"> étape. Note de concept : 5 questions et courte présentation (PPT par exemple) de 10 slides + une vidéo de 3 m</w:t>
      </w:r>
      <w:r w:rsidR="005433ED">
        <w:t>inutes</w:t>
      </w:r>
      <w:r>
        <w:t xml:space="preserve">. Quatre experts étudient alors les documents, et si </w:t>
      </w:r>
      <w:r w:rsidR="005433ED">
        <w:t>deux</w:t>
      </w:r>
      <w:r>
        <w:t xml:space="preserve"> d’entre eux valident le projet alors le projet passe en seconde étape, avec l’envoi d’une proposition détaillée. En cas de rejet, le projet peut être proposé de nouveau.</w:t>
      </w:r>
    </w:p>
    <w:p w14:paraId="6EA86078" w14:textId="0460481B" w:rsidR="0045365C" w:rsidRDefault="0045365C" w:rsidP="009252F7">
      <w:pPr>
        <w:pStyle w:val="Paragraphedeliste"/>
        <w:numPr>
          <w:ilvl w:val="0"/>
          <w:numId w:val="8"/>
        </w:numPr>
        <w:pBdr>
          <w:top w:val="nil"/>
          <w:left w:val="nil"/>
          <w:bottom w:val="nil"/>
          <w:right w:val="nil"/>
          <w:between w:val="nil"/>
        </w:pBdr>
        <w:tabs>
          <w:tab w:val="left" w:pos="1307"/>
        </w:tabs>
        <w:jc w:val="both"/>
      </w:pPr>
      <w:r>
        <w:t>2</w:t>
      </w:r>
      <w:r w:rsidRPr="0045365C">
        <w:rPr>
          <w:vertAlign w:val="superscript"/>
        </w:rPr>
        <w:t>nde</w:t>
      </w:r>
      <w:r>
        <w:t xml:space="preserve"> étape. Proposition détaillée, avec un plan d’affaire. Un coach est fourni pour aider à préparer ce plan d’affaire (3 jours de coaching). L’évaluation est effectuée en distanciel par 3 experts : il faut une unanimité pour passer à l’étape suivante. En cas de refus, une nouvelle soumission est possible après un délai de 12 mois.</w:t>
      </w:r>
    </w:p>
    <w:p w14:paraId="4C89C9F6" w14:textId="41CE7EE9" w:rsidR="0045365C" w:rsidRDefault="0045365C" w:rsidP="009252F7">
      <w:pPr>
        <w:pStyle w:val="Paragraphedeliste"/>
        <w:numPr>
          <w:ilvl w:val="0"/>
          <w:numId w:val="8"/>
        </w:numPr>
        <w:pBdr>
          <w:top w:val="nil"/>
          <w:left w:val="nil"/>
          <w:bottom w:val="nil"/>
          <w:right w:val="nil"/>
          <w:between w:val="nil"/>
        </w:pBdr>
        <w:tabs>
          <w:tab w:val="left" w:pos="1307"/>
        </w:tabs>
        <w:jc w:val="both"/>
      </w:pPr>
      <w:r>
        <w:t>3</w:t>
      </w:r>
      <w:r w:rsidRPr="0045365C">
        <w:rPr>
          <w:vertAlign w:val="superscript"/>
        </w:rPr>
        <w:t>e</w:t>
      </w:r>
      <w:r>
        <w:t xml:space="preserve"> et dernière étape. Un entretien est organisé, avec un panel allant jusqu’à 6 membres. Ici plusieurs issues sont possibles :</w:t>
      </w:r>
    </w:p>
    <w:p w14:paraId="5D15D1A2" w14:textId="77777777" w:rsidR="0045365C" w:rsidRDefault="0045365C" w:rsidP="009252F7">
      <w:pPr>
        <w:pStyle w:val="Paragraphedeliste"/>
        <w:numPr>
          <w:ilvl w:val="1"/>
          <w:numId w:val="8"/>
        </w:numPr>
        <w:pBdr>
          <w:top w:val="nil"/>
          <w:left w:val="nil"/>
          <w:bottom w:val="nil"/>
          <w:right w:val="nil"/>
          <w:between w:val="nil"/>
        </w:pBdr>
        <w:tabs>
          <w:tab w:val="left" w:pos="1307"/>
        </w:tabs>
        <w:jc w:val="both"/>
      </w:pPr>
      <w:r>
        <w:t>Financement</w:t>
      </w:r>
    </w:p>
    <w:p w14:paraId="291829F1" w14:textId="77777777" w:rsidR="0045365C" w:rsidRDefault="0045365C" w:rsidP="009252F7">
      <w:pPr>
        <w:pStyle w:val="Paragraphedeliste"/>
        <w:numPr>
          <w:ilvl w:val="1"/>
          <w:numId w:val="8"/>
        </w:numPr>
        <w:pBdr>
          <w:top w:val="nil"/>
          <w:left w:val="nil"/>
          <w:bottom w:val="nil"/>
          <w:right w:val="nil"/>
          <w:between w:val="nil"/>
        </w:pBdr>
        <w:tabs>
          <w:tab w:val="left" w:pos="1307"/>
        </w:tabs>
        <w:jc w:val="both"/>
      </w:pPr>
      <w:r>
        <w:t>Refus mais avec acceptation de repasser l’entretien</w:t>
      </w:r>
    </w:p>
    <w:p w14:paraId="1F0DC038" w14:textId="77777777" w:rsidR="0045365C" w:rsidRDefault="0045365C" w:rsidP="009252F7">
      <w:pPr>
        <w:pStyle w:val="Paragraphedeliste"/>
        <w:numPr>
          <w:ilvl w:val="1"/>
          <w:numId w:val="8"/>
        </w:numPr>
        <w:pBdr>
          <w:top w:val="nil"/>
          <w:left w:val="nil"/>
          <w:bottom w:val="nil"/>
          <w:right w:val="nil"/>
          <w:between w:val="nil"/>
        </w:pBdr>
        <w:tabs>
          <w:tab w:val="left" w:pos="1307"/>
        </w:tabs>
        <w:jc w:val="both"/>
      </w:pPr>
      <w:r>
        <w:t>Refus mais avec attribution d’un Label d’Excellence</w:t>
      </w:r>
    </w:p>
    <w:p w14:paraId="6D93EAA0" w14:textId="1C1C0C37" w:rsidR="0045365C" w:rsidRDefault="0045365C" w:rsidP="009252F7">
      <w:pPr>
        <w:pStyle w:val="Paragraphedeliste"/>
        <w:numPr>
          <w:ilvl w:val="1"/>
          <w:numId w:val="8"/>
        </w:numPr>
        <w:pBdr>
          <w:top w:val="nil"/>
          <w:left w:val="nil"/>
          <w:bottom w:val="nil"/>
          <w:right w:val="nil"/>
          <w:between w:val="nil"/>
        </w:pBdr>
        <w:tabs>
          <w:tab w:val="left" w:pos="1307"/>
        </w:tabs>
        <w:jc w:val="both"/>
      </w:pPr>
      <w:r>
        <w:t xml:space="preserve">Refus sans </w:t>
      </w:r>
      <w:r w:rsidR="005433ED">
        <w:t>L</w:t>
      </w:r>
      <w:r>
        <w:t>abel d’Excellence</w:t>
      </w:r>
    </w:p>
    <w:p w14:paraId="5E9CE480" w14:textId="77777777" w:rsidR="0045365C" w:rsidRDefault="0045365C" w:rsidP="0045365C">
      <w:pPr>
        <w:pBdr>
          <w:top w:val="nil"/>
          <w:left w:val="nil"/>
          <w:bottom w:val="nil"/>
          <w:right w:val="nil"/>
          <w:between w:val="nil"/>
        </w:pBdr>
        <w:tabs>
          <w:tab w:val="left" w:pos="1307"/>
        </w:tabs>
        <w:jc w:val="both"/>
      </w:pPr>
    </w:p>
    <w:p w14:paraId="43F6DD63" w14:textId="7B0D5B3D" w:rsidR="0045365C" w:rsidRDefault="0045365C" w:rsidP="0045365C">
      <w:pPr>
        <w:pBdr>
          <w:top w:val="nil"/>
          <w:left w:val="nil"/>
          <w:bottom w:val="nil"/>
          <w:right w:val="nil"/>
          <w:between w:val="nil"/>
        </w:pBdr>
        <w:tabs>
          <w:tab w:val="left" w:pos="1307"/>
        </w:tabs>
        <w:jc w:val="both"/>
      </w:pPr>
      <w:r>
        <w:t xml:space="preserve">Le </w:t>
      </w:r>
      <w:hyperlink r:id="rId17" w:history="1">
        <w:r w:rsidRPr="0045365C">
          <w:rPr>
            <w:rStyle w:val="Lienhypertexte"/>
          </w:rPr>
          <w:t>Label d’Excellence</w:t>
        </w:r>
      </w:hyperlink>
      <w:r>
        <w:t xml:space="preserve"> donne accès aux mêmes services d’accélération d’affaires que les projets retenus, à savoir les Services d’Accélération d’Entreprise (SAR)</w:t>
      </w:r>
      <w:r w:rsidR="00672EBD">
        <w:t xml:space="preserve"> constitué</w:t>
      </w:r>
      <w:r w:rsidR="005433ED">
        <w:t>s</w:t>
      </w:r>
      <w:r w:rsidR="00672EBD">
        <w:t xml:space="preserve"> de plusieurs jours de coaching (3 à 12)</w:t>
      </w:r>
      <w:r>
        <w:t xml:space="preserve"> et aux supports du réseau </w:t>
      </w:r>
      <w:hyperlink r:id="rId18" w:history="1">
        <w:r w:rsidRPr="00672EBD">
          <w:rPr>
            <w:rStyle w:val="Lienhypertexte"/>
          </w:rPr>
          <w:t>Entreprises Europe</w:t>
        </w:r>
      </w:hyperlink>
      <w:r>
        <w:t>. De plus, ce label facilite l’obtention de subventions issues d’autres programmes de financement européen, notamment les fonds structurels (FEDER par exemple) ou d’autres financements publics ou privés.</w:t>
      </w:r>
    </w:p>
    <w:p w14:paraId="70980577" w14:textId="77777777" w:rsidR="0045365C" w:rsidRDefault="0045365C" w:rsidP="0045365C">
      <w:pPr>
        <w:pBdr>
          <w:top w:val="nil"/>
          <w:left w:val="nil"/>
          <w:bottom w:val="nil"/>
          <w:right w:val="nil"/>
          <w:between w:val="nil"/>
        </w:pBdr>
        <w:tabs>
          <w:tab w:val="left" w:pos="1307"/>
        </w:tabs>
        <w:jc w:val="both"/>
      </w:pPr>
    </w:p>
    <w:p w14:paraId="131692A8" w14:textId="1E2CF10B" w:rsidR="0045365C" w:rsidRDefault="0045365C" w:rsidP="0045365C">
      <w:pPr>
        <w:pBdr>
          <w:top w:val="nil"/>
          <w:left w:val="nil"/>
          <w:bottom w:val="nil"/>
          <w:right w:val="nil"/>
          <w:between w:val="nil"/>
        </w:pBdr>
        <w:tabs>
          <w:tab w:val="left" w:pos="1307"/>
        </w:tabs>
        <w:jc w:val="both"/>
      </w:pPr>
      <w:r>
        <w:t xml:space="preserve">Les projets retenus vont en effet être accompagnés par les SAR et le REE : services financés par le CEI, </w:t>
      </w:r>
      <w:r w:rsidR="005433ED">
        <w:t xml:space="preserve">ils </w:t>
      </w:r>
      <w:r>
        <w:t>vise</w:t>
      </w:r>
      <w:r w:rsidR="005433ED">
        <w:t>nt</w:t>
      </w:r>
      <w:r>
        <w:t xml:space="preserve"> l’appui au développement de l’entreprise</w:t>
      </w:r>
      <w:r w:rsidR="005433ED">
        <w:t xml:space="preserve"> et sont a</w:t>
      </w:r>
      <w:r>
        <w:t>ccessibles pendant toute la durée du programme (même un</w:t>
      </w:r>
      <w:r w:rsidR="005433ED">
        <w:t>e</w:t>
      </w:r>
      <w:r>
        <w:t xml:space="preserve"> fois le projet terminé). Différents modules de coaching existent, de 2-3 jours chacun, qui peuvent être déclenchés selon les besoins identifiés lors des réunions de suivi. Ces modules sont nombreux : coaching d’affaires, expertise, partenariat d’affaires, mise en relation avec investisseurs, mentorat, soutien des femmes innovatrices, modules sur la réduction des GES, etc.</w:t>
      </w:r>
    </w:p>
    <w:p w14:paraId="4010FB34" w14:textId="1B33E305" w:rsidR="00DF6625" w:rsidRPr="00E171E7" w:rsidRDefault="00DF6625" w:rsidP="005433ED">
      <w:pPr>
        <w:pStyle w:val="EnvTitreparagraphe"/>
      </w:pPr>
      <w:r w:rsidRPr="00E171E7">
        <w:t>Accélérateur - Défi</w:t>
      </w:r>
    </w:p>
    <w:p w14:paraId="456D527B" w14:textId="18E00950" w:rsidR="00F95ACB" w:rsidRDefault="008951C3" w:rsidP="00DD3573">
      <w:pPr>
        <w:pBdr>
          <w:top w:val="nil"/>
          <w:left w:val="nil"/>
          <w:bottom w:val="nil"/>
          <w:right w:val="nil"/>
          <w:between w:val="nil"/>
        </w:pBdr>
        <w:tabs>
          <w:tab w:val="left" w:pos="1307"/>
        </w:tabs>
        <w:jc w:val="both"/>
      </w:pPr>
      <w:r>
        <w:t>Deux défis</w:t>
      </w:r>
      <w:r w:rsidR="00DD3573">
        <w:t xml:space="preserve"> sont prévus pour 2021</w:t>
      </w:r>
      <w:r>
        <w:t xml:space="preserve">, </w:t>
      </w:r>
      <w:r w:rsidR="00DD3573">
        <w:t xml:space="preserve">dont un défi </w:t>
      </w:r>
      <w:r w:rsidR="00F95ACB">
        <w:t xml:space="preserve">« Pacte Vert, innovations pour la reprise économique », touchant au choix au moins l’un des objectifs fixés dans le </w:t>
      </w:r>
      <w:r w:rsidR="00DD3573">
        <w:t>P</w:t>
      </w:r>
      <w:r w:rsidR="00F95ACB">
        <w:t xml:space="preserve">acte </w:t>
      </w:r>
      <w:r w:rsidR="00DD3573">
        <w:t>V</w:t>
      </w:r>
      <w:r w:rsidR="00F95ACB">
        <w:t>ert, à savoir :</w:t>
      </w:r>
    </w:p>
    <w:p w14:paraId="57E874DE" w14:textId="77777777" w:rsidR="00F95ACB" w:rsidRDefault="00F95ACB" w:rsidP="009252F7">
      <w:pPr>
        <w:pStyle w:val="Paragraphedeliste"/>
        <w:numPr>
          <w:ilvl w:val="0"/>
          <w:numId w:val="8"/>
        </w:numPr>
        <w:pBdr>
          <w:top w:val="nil"/>
          <w:left w:val="nil"/>
          <w:bottom w:val="nil"/>
          <w:right w:val="nil"/>
          <w:between w:val="nil"/>
        </w:pBdr>
        <w:tabs>
          <w:tab w:val="left" w:pos="1307"/>
        </w:tabs>
        <w:jc w:val="both"/>
      </w:pPr>
      <w:r>
        <w:t xml:space="preserve">Adaptation au changement climatique ; </w:t>
      </w:r>
    </w:p>
    <w:p w14:paraId="25BAAF41" w14:textId="77777777" w:rsidR="00F95ACB" w:rsidRDefault="00F95ACB" w:rsidP="009252F7">
      <w:pPr>
        <w:pStyle w:val="Paragraphedeliste"/>
        <w:numPr>
          <w:ilvl w:val="0"/>
          <w:numId w:val="8"/>
        </w:numPr>
        <w:pBdr>
          <w:top w:val="nil"/>
          <w:left w:val="nil"/>
          <w:bottom w:val="nil"/>
          <w:right w:val="nil"/>
          <w:between w:val="nil"/>
        </w:pBdr>
        <w:tabs>
          <w:tab w:val="left" w:pos="1307"/>
        </w:tabs>
        <w:jc w:val="both"/>
      </w:pPr>
      <w:r>
        <w:t xml:space="preserve">Energie propre, abordable et sûre ; </w:t>
      </w:r>
    </w:p>
    <w:p w14:paraId="44CE0C24" w14:textId="77777777" w:rsidR="00F95ACB" w:rsidRDefault="00F95ACB" w:rsidP="009252F7">
      <w:pPr>
        <w:pStyle w:val="Paragraphedeliste"/>
        <w:numPr>
          <w:ilvl w:val="0"/>
          <w:numId w:val="8"/>
        </w:numPr>
        <w:pBdr>
          <w:top w:val="nil"/>
          <w:left w:val="nil"/>
          <w:bottom w:val="nil"/>
          <w:right w:val="nil"/>
          <w:between w:val="nil"/>
        </w:pBdr>
        <w:tabs>
          <w:tab w:val="left" w:pos="1307"/>
        </w:tabs>
        <w:jc w:val="both"/>
      </w:pPr>
      <w:r>
        <w:t xml:space="preserve">Economie circulaire ; </w:t>
      </w:r>
    </w:p>
    <w:p w14:paraId="06BC7904" w14:textId="77777777" w:rsidR="00F95ACB" w:rsidRDefault="00F95ACB" w:rsidP="009252F7">
      <w:pPr>
        <w:pStyle w:val="Paragraphedeliste"/>
        <w:numPr>
          <w:ilvl w:val="0"/>
          <w:numId w:val="8"/>
        </w:numPr>
        <w:pBdr>
          <w:top w:val="nil"/>
          <w:left w:val="nil"/>
          <w:bottom w:val="nil"/>
          <w:right w:val="nil"/>
          <w:between w:val="nil"/>
        </w:pBdr>
        <w:tabs>
          <w:tab w:val="left" w:pos="1307"/>
        </w:tabs>
        <w:jc w:val="both"/>
      </w:pPr>
      <w:r>
        <w:t xml:space="preserve">Construction et rénovation économes en énergie et en ressources ; </w:t>
      </w:r>
    </w:p>
    <w:p w14:paraId="21E2769C" w14:textId="77777777" w:rsidR="00F95ACB" w:rsidRDefault="00F95ACB" w:rsidP="009252F7">
      <w:pPr>
        <w:pStyle w:val="Paragraphedeliste"/>
        <w:numPr>
          <w:ilvl w:val="0"/>
          <w:numId w:val="8"/>
        </w:numPr>
        <w:pBdr>
          <w:top w:val="nil"/>
          <w:left w:val="nil"/>
          <w:bottom w:val="nil"/>
          <w:right w:val="nil"/>
          <w:between w:val="nil"/>
        </w:pBdr>
        <w:tabs>
          <w:tab w:val="left" w:pos="1307"/>
        </w:tabs>
        <w:jc w:val="both"/>
      </w:pPr>
      <w:r>
        <w:t xml:space="preserve">Mobilité durable et intelligente ; </w:t>
      </w:r>
    </w:p>
    <w:p w14:paraId="211083CB" w14:textId="77777777" w:rsidR="00F95ACB" w:rsidRDefault="00F95ACB" w:rsidP="009252F7">
      <w:pPr>
        <w:pStyle w:val="Paragraphedeliste"/>
        <w:numPr>
          <w:ilvl w:val="0"/>
          <w:numId w:val="8"/>
        </w:numPr>
        <w:pBdr>
          <w:top w:val="nil"/>
          <w:left w:val="nil"/>
          <w:bottom w:val="nil"/>
          <w:right w:val="nil"/>
          <w:between w:val="nil"/>
        </w:pBdr>
        <w:tabs>
          <w:tab w:val="left" w:pos="1307"/>
        </w:tabs>
        <w:jc w:val="both"/>
      </w:pPr>
      <w:r>
        <w:t xml:space="preserve">Système alimentaire juste, sains et respectueux de l’environnement ; </w:t>
      </w:r>
    </w:p>
    <w:p w14:paraId="60288C54" w14:textId="77777777" w:rsidR="00F95ACB" w:rsidRDefault="00F95ACB" w:rsidP="009252F7">
      <w:pPr>
        <w:pStyle w:val="Paragraphedeliste"/>
        <w:numPr>
          <w:ilvl w:val="0"/>
          <w:numId w:val="8"/>
        </w:numPr>
        <w:pBdr>
          <w:top w:val="nil"/>
          <w:left w:val="nil"/>
          <w:bottom w:val="nil"/>
          <w:right w:val="nil"/>
          <w:between w:val="nil"/>
        </w:pBdr>
        <w:tabs>
          <w:tab w:val="left" w:pos="1307"/>
        </w:tabs>
        <w:jc w:val="both"/>
      </w:pPr>
      <w:r>
        <w:t xml:space="preserve">Ecosystème et biodiversité ; </w:t>
      </w:r>
    </w:p>
    <w:p w14:paraId="13E0A3FA" w14:textId="77777777" w:rsidR="00F95ACB" w:rsidRDefault="00F95ACB" w:rsidP="009252F7">
      <w:pPr>
        <w:pStyle w:val="Paragraphedeliste"/>
        <w:numPr>
          <w:ilvl w:val="0"/>
          <w:numId w:val="8"/>
        </w:numPr>
        <w:pBdr>
          <w:top w:val="nil"/>
          <w:left w:val="nil"/>
          <w:bottom w:val="nil"/>
          <w:right w:val="nil"/>
          <w:between w:val="nil"/>
        </w:pBdr>
        <w:tabs>
          <w:tab w:val="left" w:pos="1307"/>
        </w:tabs>
        <w:jc w:val="both"/>
      </w:pPr>
      <w:r>
        <w:t xml:space="preserve">Environnement exempt de substances toxiques. </w:t>
      </w:r>
    </w:p>
    <w:p w14:paraId="28EBD850" w14:textId="77777777" w:rsidR="00F95ACB" w:rsidRDefault="00F95ACB" w:rsidP="00F95ACB">
      <w:pPr>
        <w:pBdr>
          <w:top w:val="nil"/>
          <w:left w:val="nil"/>
          <w:bottom w:val="nil"/>
          <w:right w:val="nil"/>
          <w:between w:val="nil"/>
        </w:pBdr>
        <w:tabs>
          <w:tab w:val="left" w:pos="1307"/>
        </w:tabs>
        <w:ind w:left="360"/>
        <w:jc w:val="both"/>
      </w:pPr>
    </w:p>
    <w:p w14:paraId="1F940CD2" w14:textId="47A61E3C" w:rsidR="00F95ACB" w:rsidRDefault="00DD3573" w:rsidP="00F95ACB">
      <w:pPr>
        <w:pBdr>
          <w:top w:val="nil"/>
          <w:left w:val="nil"/>
          <w:bottom w:val="nil"/>
          <w:right w:val="nil"/>
          <w:between w:val="nil"/>
        </w:pBdr>
        <w:tabs>
          <w:tab w:val="left" w:pos="1307"/>
        </w:tabs>
        <w:ind w:left="360"/>
        <w:jc w:val="both"/>
      </w:pPr>
      <w:r>
        <w:t xml:space="preserve">Les candidats invités à la phase d’oral </w:t>
      </w:r>
      <w:r w:rsidR="00F95ACB">
        <w:t>(donc au 2</w:t>
      </w:r>
      <w:r w:rsidR="00F95ACB" w:rsidRPr="00F95ACB">
        <w:rPr>
          <w:vertAlign w:val="superscript"/>
        </w:rPr>
        <w:t>nd</w:t>
      </w:r>
      <w:r w:rsidR="00F95ACB">
        <w:t xml:space="preserve"> stade de l’évaluation) seront des sociétés actives dans les secteurs suivants : </w:t>
      </w:r>
    </w:p>
    <w:p w14:paraId="0E94CC3A" w14:textId="77777777" w:rsidR="00F95ACB" w:rsidRDefault="00F95ACB" w:rsidP="009252F7">
      <w:pPr>
        <w:pStyle w:val="Paragraphedeliste"/>
        <w:numPr>
          <w:ilvl w:val="0"/>
          <w:numId w:val="8"/>
        </w:numPr>
        <w:pBdr>
          <w:top w:val="nil"/>
          <w:left w:val="nil"/>
          <w:bottom w:val="nil"/>
          <w:right w:val="nil"/>
          <w:between w:val="nil"/>
        </w:pBdr>
        <w:tabs>
          <w:tab w:val="left" w:pos="1307"/>
        </w:tabs>
        <w:jc w:val="both"/>
      </w:pPr>
      <w:r>
        <w:lastRenderedPageBreak/>
        <w:t>Energie renouvelable</w:t>
      </w:r>
    </w:p>
    <w:p w14:paraId="53FCAF21" w14:textId="77777777" w:rsidR="00F95ACB" w:rsidRDefault="00F95ACB" w:rsidP="009252F7">
      <w:pPr>
        <w:pStyle w:val="Paragraphedeliste"/>
        <w:numPr>
          <w:ilvl w:val="0"/>
          <w:numId w:val="8"/>
        </w:numPr>
        <w:pBdr>
          <w:top w:val="nil"/>
          <w:left w:val="nil"/>
          <w:bottom w:val="nil"/>
          <w:right w:val="nil"/>
          <w:between w:val="nil"/>
        </w:pBdr>
        <w:tabs>
          <w:tab w:val="left" w:pos="1307"/>
        </w:tabs>
        <w:jc w:val="both"/>
      </w:pPr>
      <w:r>
        <w:t>Rénovation des bâtiments</w:t>
      </w:r>
    </w:p>
    <w:p w14:paraId="0B8B3678" w14:textId="77777777" w:rsidR="00F95ACB" w:rsidRDefault="00F95ACB" w:rsidP="009252F7">
      <w:pPr>
        <w:pStyle w:val="Paragraphedeliste"/>
        <w:numPr>
          <w:ilvl w:val="0"/>
          <w:numId w:val="8"/>
        </w:numPr>
        <w:pBdr>
          <w:top w:val="nil"/>
          <w:left w:val="nil"/>
          <w:bottom w:val="nil"/>
          <w:right w:val="nil"/>
          <w:between w:val="nil"/>
        </w:pBdr>
        <w:tabs>
          <w:tab w:val="left" w:pos="1307"/>
        </w:tabs>
        <w:jc w:val="both"/>
      </w:pPr>
      <w:r>
        <w:t>Industries basses émissions</w:t>
      </w:r>
    </w:p>
    <w:p w14:paraId="3328C061" w14:textId="524CE9A9" w:rsidR="00F95ACB" w:rsidRDefault="00F95ACB" w:rsidP="009252F7">
      <w:pPr>
        <w:pStyle w:val="Paragraphedeliste"/>
        <w:numPr>
          <w:ilvl w:val="0"/>
          <w:numId w:val="8"/>
        </w:numPr>
        <w:pBdr>
          <w:top w:val="nil"/>
          <w:left w:val="nil"/>
          <w:bottom w:val="nil"/>
          <w:right w:val="nil"/>
          <w:between w:val="nil"/>
        </w:pBdr>
        <w:tabs>
          <w:tab w:val="left" w:pos="1307"/>
        </w:tabs>
        <w:jc w:val="both"/>
      </w:pPr>
      <w:r>
        <w:t xml:space="preserve">Batteries et autres systèmes de stockage d’énergie </w:t>
      </w:r>
    </w:p>
    <w:p w14:paraId="17F790FB" w14:textId="65AC077E" w:rsidR="00AC578E" w:rsidRDefault="00AC578E" w:rsidP="00746390">
      <w:pPr>
        <w:pBdr>
          <w:top w:val="nil"/>
          <w:left w:val="nil"/>
          <w:bottom w:val="nil"/>
          <w:right w:val="nil"/>
          <w:between w:val="nil"/>
        </w:pBdr>
        <w:tabs>
          <w:tab w:val="left" w:pos="1307"/>
        </w:tabs>
        <w:jc w:val="both"/>
      </w:pPr>
    </w:p>
    <w:p w14:paraId="13A8633D" w14:textId="638160A0" w:rsidR="007F6373" w:rsidRPr="007F6373" w:rsidRDefault="007F6373" w:rsidP="00746390">
      <w:pPr>
        <w:pBdr>
          <w:top w:val="nil"/>
          <w:left w:val="nil"/>
          <w:bottom w:val="nil"/>
          <w:right w:val="nil"/>
          <w:between w:val="nil"/>
        </w:pBdr>
        <w:tabs>
          <w:tab w:val="left" w:pos="1307"/>
        </w:tabs>
        <w:jc w:val="both"/>
        <w:rPr>
          <w:u w:val="single"/>
        </w:rPr>
      </w:pPr>
      <w:r w:rsidRPr="007F6373">
        <w:rPr>
          <w:u w:val="single"/>
        </w:rPr>
        <w:t>Résumé de l’instrument « Accélérateur » :</w:t>
      </w:r>
    </w:p>
    <w:p w14:paraId="4E4AE960" w14:textId="4E861894" w:rsidR="007F6373" w:rsidRDefault="007F6373" w:rsidP="00746390">
      <w:pPr>
        <w:pBdr>
          <w:top w:val="nil"/>
          <w:left w:val="nil"/>
          <w:bottom w:val="nil"/>
          <w:right w:val="nil"/>
          <w:between w:val="nil"/>
        </w:pBdr>
        <w:tabs>
          <w:tab w:val="left" w:pos="1307"/>
        </w:tabs>
        <w:jc w:val="both"/>
      </w:pPr>
    </w:p>
    <w:tbl>
      <w:tblPr>
        <w:tblStyle w:val="TableauGrille2-Accentuation3"/>
        <w:tblW w:w="9781" w:type="dxa"/>
        <w:tblLook w:val="04A0" w:firstRow="1" w:lastRow="0" w:firstColumn="1" w:lastColumn="0" w:noHBand="0" w:noVBand="1"/>
      </w:tblPr>
      <w:tblGrid>
        <w:gridCol w:w="2445"/>
        <w:gridCol w:w="2399"/>
        <w:gridCol w:w="94"/>
        <w:gridCol w:w="2494"/>
        <w:gridCol w:w="2349"/>
      </w:tblGrid>
      <w:tr w:rsidR="007F6373" w14:paraId="23159E84" w14:textId="77777777" w:rsidTr="008D70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5" w:type="dxa"/>
          </w:tcPr>
          <w:p w14:paraId="02802545" w14:textId="77777777" w:rsidR="007F6373" w:rsidRDefault="007F6373" w:rsidP="008D702E">
            <w:pPr>
              <w:tabs>
                <w:tab w:val="left" w:pos="1307"/>
              </w:tabs>
              <w:jc w:val="both"/>
              <w:rPr>
                <w:b w:val="0"/>
                <w:bCs w:val="0"/>
              </w:rPr>
            </w:pPr>
          </w:p>
        </w:tc>
        <w:tc>
          <w:tcPr>
            <w:tcW w:w="2399" w:type="dxa"/>
          </w:tcPr>
          <w:p w14:paraId="09228343" w14:textId="77777777" w:rsidR="007F6373" w:rsidRDefault="007F6373" w:rsidP="008D702E">
            <w:pPr>
              <w:tabs>
                <w:tab w:val="left" w:pos="1307"/>
              </w:tabs>
              <w:jc w:val="both"/>
              <w:cnfStyle w:val="100000000000" w:firstRow="1" w:lastRow="0" w:firstColumn="0" w:lastColumn="0" w:oddVBand="0" w:evenVBand="0" w:oddHBand="0" w:evenHBand="0" w:firstRowFirstColumn="0" w:firstRowLastColumn="0" w:lastRowFirstColumn="0" w:lastRowLastColumn="0"/>
            </w:pPr>
            <w:r>
              <w:t>Appels ouverts</w:t>
            </w:r>
          </w:p>
        </w:tc>
        <w:tc>
          <w:tcPr>
            <w:tcW w:w="2588" w:type="dxa"/>
            <w:gridSpan w:val="2"/>
          </w:tcPr>
          <w:p w14:paraId="0C1267DA" w14:textId="77777777" w:rsidR="007F6373" w:rsidRDefault="007F6373" w:rsidP="008D702E">
            <w:pPr>
              <w:tabs>
                <w:tab w:val="left" w:pos="1307"/>
              </w:tabs>
              <w:jc w:val="both"/>
              <w:cnfStyle w:val="100000000000" w:firstRow="1" w:lastRow="0" w:firstColumn="0" w:lastColumn="0" w:oddVBand="0" w:evenVBand="0" w:oddHBand="0" w:evenHBand="0" w:firstRowFirstColumn="0" w:firstRowLastColumn="0" w:lastRowFirstColumn="0" w:lastRowLastColumn="0"/>
            </w:pPr>
            <w:r>
              <w:t>Défis</w:t>
            </w:r>
          </w:p>
        </w:tc>
        <w:tc>
          <w:tcPr>
            <w:tcW w:w="2349" w:type="dxa"/>
          </w:tcPr>
          <w:p w14:paraId="3926DDBE" w14:textId="77777777" w:rsidR="007F6373" w:rsidRDefault="007F6373" w:rsidP="008D702E">
            <w:pPr>
              <w:tabs>
                <w:tab w:val="left" w:pos="1307"/>
              </w:tabs>
              <w:jc w:val="both"/>
              <w:cnfStyle w:val="100000000000" w:firstRow="1" w:lastRow="0" w:firstColumn="0" w:lastColumn="0" w:oddVBand="0" w:evenVBand="0" w:oddHBand="0" w:evenHBand="0" w:firstRowFirstColumn="0" w:firstRowLastColumn="0" w:lastRowFirstColumn="0" w:lastRowLastColumn="0"/>
            </w:pPr>
            <w:r>
              <w:t>Subvention ad hoc</w:t>
            </w:r>
          </w:p>
        </w:tc>
      </w:tr>
      <w:tr w:rsidR="007F6373" w14:paraId="05FF2658" w14:textId="77777777" w:rsidTr="008D70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5" w:type="dxa"/>
          </w:tcPr>
          <w:p w14:paraId="0F6EEE65" w14:textId="77777777" w:rsidR="007F6373" w:rsidRPr="00580D1C" w:rsidRDefault="007F6373" w:rsidP="008D702E">
            <w:pPr>
              <w:tabs>
                <w:tab w:val="left" w:pos="1307"/>
              </w:tabs>
              <w:jc w:val="both"/>
              <w:rPr>
                <w:b w:val="0"/>
                <w:bCs w:val="0"/>
              </w:rPr>
            </w:pPr>
            <w:r>
              <w:t>Budget</w:t>
            </w:r>
          </w:p>
        </w:tc>
        <w:tc>
          <w:tcPr>
            <w:tcW w:w="2399" w:type="dxa"/>
          </w:tcPr>
          <w:p w14:paraId="2DBC5443" w14:textId="765CAE9E" w:rsidR="007F6373" w:rsidRDefault="003D27BE" w:rsidP="008D702E">
            <w:pPr>
              <w:tabs>
                <w:tab w:val="left" w:pos="1307"/>
              </w:tabs>
              <w:jc w:val="both"/>
              <w:cnfStyle w:val="000000100000" w:firstRow="0" w:lastRow="0" w:firstColumn="0" w:lastColumn="0" w:oddVBand="0" w:evenVBand="0" w:oddHBand="1" w:evenHBand="0" w:firstRowFirstColumn="0" w:firstRowLastColumn="0" w:lastRowFirstColumn="0" w:lastRowLastColumn="0"/>
            </w:pPr>
            <w:r>
              <w:t xml:space="preserve">592.5 </w:t>
            </w:r>
            <w:r w:rsidR="007F6373">
              <w:t>millions €</w:t>
            </w:r>
          </w:p>
        </w:tc>
        <w:tc>
          <w:tcPr>
            <w:tcW w:w="2588" w:type="dxa"/>
            <w:gridSpan w:val="2"/>
          </w:tcPr>
          <w:p w14:paraId="2CF95154" w14:textId="01B8380D" w:rsidR="007F6373" w:rsidRDefault="000146A8" w:rsidP="008D702E">
            <w:pPr>
              <w:tabs>
                <w:tab w:val="left" w:pos="1307"/>
              </w:tabs>
              <w:jc w:val="both"/>
              <w:cnfStyle w:val="000000100000" w:firstRow="0" w:lastRow="0" w:firstColumn="0" w:lastColumn="0" w:oddVBand="0" w:evenVBand="0" w:oddHBand="1" w:evenHBand="0" w:firstRowFirstColumn="0" w:firstRowLastColumn="0" w:lastRowFirstColumn="0" w:lastRowLastColumn="0"/>
            </w:pPr>
            <w:r>
              <w:t xml:space="preserve"> 496</w:t>
            </w:r>
            <w:r w:rsidR="007F6373">
              <w:t xml:space="preserve"> millions €</w:t>
            </w:r>
          </w:p>
        </w:tc>
        <w:tc>
          <w:tcPr>
            <w:tcW w:w="2349" w:type="dxa"/>
          </w:tcPr>
          <w:p w14:paraId="73B1C5D3" w14:textId="77777777" w:rsidR="007F6373" w:rsidRDefault="007F6373" w:rsidP="008D702E">
            <w:pPr>
              <w:tabs>
                <w:tab w:val="left" w:pos="1307"/>
              </w:tabs>
              <w:jc w:val="both"/>
              <w:cnfStyle w:val="000000100000" w:firstRow="0" w:lastRow="0" w:firstColumn="0" w:lastColumn="0" w:oddVBand="0" w:evenVBand="0" w:oddHBand="1" w:evenHBand="0" w:firstRowFirstColumn="0" w:firstRowLastColumn="0" w:lastRowFirstColumn="0" w:lastRowLastColumn="0"/>
            </w:pPr>
            <w:r>
              <w:t>Max 1% de l’appel</w:t>
            </w:r>
          </w:p>
        </w:tc>
      </w:tr>
      <w:tr w:rsidR="007F6373" w14:paraId="08DEE5A3" w14:textId="77777777" w:rsidTr="008D702E">
        <w:tc>
          <w:tcPr>
            <w:cnfStyle w:val="001000000000" w:firstRow="0" w:lastRow="0" w:firstColumn="1" w:lastColumn="0" w:oddVBand="0" w:evenVBand="0" w:oddHBand="0" w:evenHBand="0" w:firstRowFirstColumn="0" w:firstRowLastColumn="0" w:lastRowFirstColumn="0" w:lastRowLastColumn="0"/>
            <w:tcW w:w="2445" w:type="dxa"/>
          </w:tcPr>
          <w:p w14:paraId="286EA6A8" w14:textId="77777777" w:rsidR="007F6373" w:rsidRDefault="007F6373" w:rsidP="008D702E">
            <w:pPr>
              <w:tabs>
                <w:tab w:val="left" w:pos="1307"/>
              </w:tabs>
              <w:jc w:val="both"/>
            </w:pPr>
            <w:r>
              <w:t>Subvention/ projet</w:t>
            </w:r>
          </w:p>
        </w:tc>
        <w:tc>
          <w:tcPr>
            <w:tcW w:w="2399" w:type="dxa"/>
          </w:tcPr>
          <w:p w14:paraId="37FC46B6" w14:textId="53220AC0" w:rsidR="007F6373" w:rsidRDefault="007F6373" w:rsidP="008D702E">
            <w:pPr>
              <w:tabs>
                <w:tab w:val="left" w:pos="1307"/>
              </w:tabs>
              <w:jc w:val="both"/>
              <w:cnfStyle w:val="000000000000" w:firstRow="0" w:lastRow="0" w:firstColumn="0" w:lastColumn="0" w:oddVBand="0" w:evenVBand="0" w:oddHBand="0" w:evenHBand="0" w:firstRowFirstColumn="0" w:firstRowLastColumn="0" w:lastRowFirstColumn="0" w:lastRowLastColumn="0"/>
            </w:pPr>
            <w:r>
              <w:t>2.5 millions de subvention max.</w:t>
            </w:r>
            <w:r w:rsidR="00A53477">
              <w:t xml:space="preserve"> + investissement de 0.5 à 15 millions €</w:t>
            </w:r>
          </w:p>
        </w:tc>
        <w:tc>
          <w:tcPr>
            <w:tcW w:w="2588" w:type="dxa"/>
            <w:gridSpan w:val="2"/>
          </w:tcPr>
          <w:p w14:paraId="64317920" w14:textId="622879D3" w:rsidR="007F6373" w:rsidRDefault="007F6373" w:rsidP="008D702E">
            <w:pPr>
              <w:tabs>
                <w:tab w:val="left" w:pos="1307"/>
              </w:tabs>
              <w:jc w:val="both"/>
              <w:cnfStyle w:val="000000000000" w:firstRow="0" w:lastRow="0" w:firstColumn="0" w:lastColumn="0" w:oddVBand="0" w:evenVBand="0" w:oddHBand="0" w:evenHBand="0" w:firstRowFirstColumn="0" w:firstRowLastColumn="0" w:lastRowFirstColumn="0" w:lastRowLastColumn="0"/>
            </w:pPr>
            <w:r>
              <w:t xml:space="preserve"> </w:t>
            </w:r>
            <w:r w:rsidR="000146A8">
              <w:t xml:space="preserve">4 </w:t>
            </w:r>
            <w:r>
              <w:t>millions</w:t>
            </w:r>
            <w:r w:rsidR="00A53477">
              <w:t xml:space="preserve"> de subvention</w:t>
            </w:r>
          </w:p>
        </w:tc>
        <w:tc>
          <w:tcPr>
            <w:tcW w:w="2349" w:type="dxa"/>
          </w:tcPr>
          <w:p w14:paraId="5900A5A1" w14:textId="77777777" w:rsidR="007F6373" w:rsidRDefault="007F6373" w:rsidP="008D702E">
            <w:pPr>
              <w:tabs>
                <w:tab w:val="left" w:pos="1307"/>
              </w:tabs>
              <w:jc w:val="both"/>
              <w:cnfStyle w:val="000000000000" w:firstRow="0" w:lastRow="0" w:firstColumn="0" w:lastColumn="0" w:oddVBand="0" w:evenVBand="0" w:oddHBand="0" w:evenHBand="0" w:firstRowFirstColumn="0" w:firstRowLastColumn="0" w:lastRowFirstColumn="0" w:lastRowLastColumn="0"/>
            </w:pPr>
            <w:r>
              <w:t>50 000€ max.</w:t>
            </w:r>
          </w:p>
        </w:tc>
      </w:tr>
      <w:tr w:rsidR="007F6373" w14:paraId="1149A4E2" w14:textId="77777777" w:rsidTr="008D70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5" w:type="dxa"/>
          </w:tcPr>
          <w:p w14:paraId="6A1C5104" w14:textId="77777777" w:rsidR="007F6373" w:rsidRDefault="007F6373" w:rsidP="008D702E">
            <w:pPr>
              <w:tabs>
                <w:tab w:val="left" w:pos="1307"/>
              </w:tabs>
              <w:jc w:val="both"/>
            </w:pPr>
            <w:r>
              <w:t>Pourcentage</w:t>
            </w:r>
          </w:p>
        </w:tc>
        <w:tc>
          <w:tcPr>
            <w:tcW w:w="2399" w:type="dxa"/>
          </w:tcPr>
          <w:p w14:paraId="5B5CE623" w14:textId="6874413F" w:rsidR="007F6373" w:rsidRDefault="007F6373" w:rsidP="008D702E">
            <w:pPr>
              <w:tabs>
                <w:tab w:val="left" w:pos="1307"/>
              </w:tabs>
              <w:jc w:val="both"/>
              <w:cnfStyle w:val="000000100000" w:firstRow="0" w:lastRow="0" w:firstColumn="0" w:lastColumn="0" w:oddVBand="0" w:evenVBand="0" w:oddHBand="1" w:evenHBand="0" w:firstRowFirstColumn="0" w:firstRowLastColumn="0" w:lastRowFirstColumn="0" w:lastRowLastColumn="0"/>
            </w:pPr>
            <w:r>
              <w:t>70 % des coûts éligibles</w:t>
            </w:r>
          </w:p>
        </w:tc>
        <w:tc>
          <w:tcPr>
            <w:tcW w:w="2588" w:type="dxa"/>
            <w:gridSpan w:val="2"/>
          </w:tcPr>
          <w:p w14:paraId="15F5A4D5" w14:textId="184AF23D" w:rsidR="007F6373" w:rsidRDefault="007F6373" w:rsidP="008D702E">
            <w:pPr>
              <w:tabs>
                <w:tab w:val="left" w:pos="1307"/>
              </w:tabs>
              <w:jc w:val="both"/>
              <w:cnfStyle w:val="000000100000" w:firstRow="0" w:lastRow="0" w:firstColumn="0" w:lastColumn="0" w:oddVBand="0" w:evenVBand="0" w:oddHBand="1" w:evenHBand="0" w:firstRowFirstColumn="0" w:firstRowLastColumn="0" w:lastRowFirstColumn="0" w:lastRowLastColumn="0"/>
            </w:pPr>
            <w:r>
              <w:t xml:space="preserve"> </w:t>
            </w:r>
            <w:r w:rsidR="000146A8">
              <w:t xml:space="preserve">100% </w:t>
            </w:r>
            <w:r>
              <w:t>des coûts éligibles</w:t>
            </w:r>
          </w:p>
        </w:tc>
        <w:tc>
          <w:tcPr>
            <w:tcW w:w="2349" w:type="dxa"/>
          </w:tcPr>
          <w:p w14:paraId="0BC14A3C" w14:textId="77777777" w:rsidR="007F6373" w:rsidRDefault="007F6373" w:rsidP="008D702E">
            <w:pPr>
              <w:tabs>
                <w:tab w:val="left" w:pos="1307"/>
              </w:tabs>
              <w:jc w:val="both"/>
              <w:cnfStyle w:val="000000100000" w:firstRow="0" w:lastRow="0" w:firstColumn="0" w:lastColumn="0" w:oddVBand="0" w:evenVBand="0" w:oddHBand="1" w:evenHBand="0" w:firstRowFirstColumn="0" w:firstRowLastColumn="0" w:lastRowFirstColumn="0" w:lastRowLastColumn="0"/>
            </w:pPr>
            <w:r>
              <w:t>Forfait</w:t>
            </w:r>
          </w:p>
        </w:tc>
      </w:tr>
      <w:tr w:rsidR="007F6373" w14:paraId="3C141FD3" w14:textId="77777777" w:rsidTr="008D702E">
        <w:tc>
          <w:tcPr>
            <w:cnfStyle w:val="001000000000" w:firstRow="0" w:lastRow="0" w:firstColumn="1" w:lastColumn="0" w:oddVBand="0" w:evenVBand="0" w:oddHBand="0" w:evenHBand="0" w:firstRowFirstColumn="0" w:firstRowLastColumn="0" w:lastRowFirstColumn="0" w:lastRowLastColumn="0"/>
            <w:tcW w:w="2445" w:type="dxa"/>
          </w:tcPr>
          <w:p w14:paraId="514737B6" w14:textId="77777777" w:rsidR="007F6373" w:rsidRDefault="007F6373" w:rsidP="008D702E">
            <w:pPr>
              <w:tabs>
                <w:tab w:val="left" w:pos="1307"/>
              </w:tabs>
              <w:jc w:val="both"/>
            </w:pPr>
            <w:r>
              <w:t>Ouverture de l’appel</w:t>
            </w:r>
          </w:p>
        </w:tc>
        <w:tc>
          <w:tcPr>
            <w:tcW w:w="2399" w:type="dxa"/>
          </w:tcPr>
          <w:p w14:paraId="34311124" w14:textId="4149E5B9" w:rsidR="007F6373" w:rsidRDefault="00960F18" w:rsidP="0041383F">
            <w:pPr>
              <w:tabs>
                <w:tab w:val="left" w:pos="1307"/>
              </w:tabs>
              <w:jc w:val="center"/>
              <w:cnfStyle w:val="000000000000" w:firstRow="0" w:lastRow="0" w:firstColumn="0" w:lastColumn="0" w:oddVBand="0" w:evenVBand="0" w:oddHBand="0" w:evenHBand="0" w:firstRowFirstColumn="0" w:firstRowLastColumn="0" w:lastRowFirstColumn="0" w:lastRowLastColumn="0"/>
            </w:pPr>
            <w:r>
              <w:t>En continu</w:t>
            </w:r>
          </w:p>
        </w:tc>
        <w:tc>
          <w:tcPr>
            <w:tcW w:w="2588" w:type="dxa"/>
            <w:gridSpan w:val="2"/>
          </w:tcPr>
          <w:p w14:paraId="596B6B9E" w14:textId="3F4BA580" w:rsidR="007F6373" w:rsidRDefault="007F6373" w:rsidP="008D702E">
            <w:pPr>
              <w:tabs>
                <w:tab w:val="left" w:pos="1307"/>
              </w:tabs>
              <w:jc w:val="both"/>
              <w:cnfStyle w:val="000000000000" w:firstRow="0" w:lastRow="0" w:firstColumn="0" w:lastColumn="0" w:oddVBand="0" w:evenVBand="0" w:oddHBand="0" w:evenHBand="0" w:firstRowFirstColumn="0" w:firstRowLastColumn="0" w:lastRowFirstColumn="0" w:lastRowLastColumn="0"/>
            </w:pPr>
            <w:r>
              <w:t xml:space="preserve"> </w:t>
            </w:r>
          </w:p>
        </w:tc>
        <w:tc>
          <w:tcPr>
            <w:tcW w:w="2349" w:type="dxa"/>
          </w:tcPr>
          <w:p w14:paraId="090C6890" w14:textId="77777777" w:rsidR="007F6373" w:rsidRDefault="007F6373" w:rsidP="008D702E">
            <w:pPr>
              <w:tabs>
                <w:tab w:val="left" w:pos="1307"/>
              </w:tabs>
              <w:jc w:val="both"/>
              <w:cnfStyle w:val="000000000000" w:firstRow="0" w:lastRow="0" w:firstColumn="0" w:lastColumn="0" w:oddVBand="0" w:evenVBand="0" w:oddHBand="0" w:evenHBand="0" w:firstRowFirstColumn="0" w:firstRowLastColumn="0" w:lastRowFirstColumn="0" w:lastRowLastColumn="0"/>
            </w:pPr>
          </w:p>
        </w:tc>
      </w:tr>
      <w:tr w:rsidR="0020068F" w14:paraId="17C66173" w14:textId="77777777" w:rsidTr="00550B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5" w:type="dxa"/>
          </w:tcPr>
          <w:p w14:paraId="6B15AE60" w14:textId="77777777" w:rsidR="0020068F" w:rsidRDefault="0020068F" w:rsidP="008D702E">
            <w:pPr>
              <w:tabs>
                <w:tab w:val="left" w:pos="1307"/>
              </w:tabs>
              <w:jc w:val="both"/>
            </w:pPr>
            <w:r>
              <w:t>Clôture de l’appel</w:t>
            </w:r>
          </w:p>
        </w:tc>
        <w:tc>
          <w:tcPr>
            <w:tcW w:w="2493" w:type="dxa"/>
            <w:gridSpan w:val="2"/>
          </w:tcPr>
          <w:p w14:paraId="6B46B3A6" w14:textId="0AC36ED5" w:rsidR="0020068F" w:rsidRDefault="0020068F" w:rsidP="005B1255">
            <w:pPr>
              <w:tabs>
                <w:tab w:val="left" w:pos="1307"/>
              </w:tabs>
              <w:cnfStyle w:val="000000100000" w:firstRow="0" w:lastRow="0" w:firstColumn="0" w:lastColumn="0" w:oddVBand="0" w:evenVBand="0" w:oddHBand="1" w:evenHBand="0" w:firstRowFirstColumn="0" w:firstRowLastColumn="0" w:lastRowFirstColumn="0" w:lastRowLastColumn="0"/>
            </w:pPr>
            <w:r>
              <w:t>1</w:t>
            </w:r>
            <w:r w:rsidRPr="0020068F">
              <w:rPr>
                <w:vertAlign w:val="superscript"/>
              </w:rPr>
              <w:t>ère</w:t>
            </w:r>
            <w:r>
              <w:t xml:space="preserve"> étape : en continu. 2</w:t>
            </w:r>
            <w:r w:rsidRPr="0020068F">
              <w:rPr>
                <w:vertAlign w:val="superscript"/>
              </w:rPr>
              <w:t>e</w:t>
            </w:r>
            <w:r>
              <w:t xml:space="preserve"> étape : 9 juin ou 6 octobre 2021</w:t>
            </w:r>
          </w:p>
        </w:tc>
        <w:tc>
          <w:tcPr>
            <w:tcW w:w="2494" w:type="dxa"/>
          </w:tcPr>
          <w:p w14:paraId="39CF9914" w14:textId="7C8C1096" w:rsidR="0020068F" w:rsidRDefault="0020068F" w:rsidP="005B1255">
            <w:pPr>
              <w:tabs>
                <w:tab w:val="left" w:pos="1307"/>
              </w:tabs>
              <w:cnfStyle w:val="000000100000" w:firstRow="0" w:lastRow="0" w:firstColumn="0" w:lastColumn="0" w:oddVBand="0" w:evenVBand="0" w:oddHBand="1" w:evenHBand="0" w:firstRowFirstColumn="0" w:firstRowLastColumn="0" w:lastRowFirstColumn="0" w:lastRowLastColumn="0"/>
            </w:pPr>
            <w:r>
              <w:t>9 juin ou 6 octobre 2021</w:t>
            </w:r>
          </w:p>
        </w:tc>
        <w:tc>
          <w:tcPr>
            <w:tcW w:w="2349" w:type="dxa"/>
          </w:tcPr>
          <w:p w14:paraId="6C306603" w14:textId="77777777" w:rsidR="0020068F" w:rsidRDefault="0020068F" w:rsidP="008D702E">
            <w:pPr>
              <w:tabs>
                <w:tab w:val="left" w:pos="1307"/>
              </w:tabs>
              <w:jc w:val="center"/>
              <w:cnfStyle w:val="000000100000" w:firstRow="0" w:lastRow="0" w:firstColumn="0" w:lastColumn="0" w:oddVBand="0" w:evenVBand="0" w:oddHBand="1" w:evenHBand="0" w:firstRowFirstColumn="0" w:firstRowLastColumn="0" w:lastRowFirstColumn="0" w:lastRowLastColumn="0"/>
            </w:pPr>
          </w:p>
        </w:tc>
      </w:tr>
      <w:tr w:rsidR="00A53477" w14:paraId="43DC1E83" w14:textId="77777777" w:rsidTr="00D42DE5">
        <w:tc>
          <w:tcPr>
            <w:cnfStyle w:val="001000000000" w:firstRow="0" w:lastRow="0" w:firstColumn="1" w:lastColumn="0" w:oddVBand="0" w:evenVBand="0" w:oddHBand="0" w:evenHBand="0" w:firstRowFirstColumn="0" w:firstRowLastColumn="0" w:lastRowFirstColumn="0" w:lastRowLastColumn="0"/>
            <w:tcW w:w="2445" w:type="dxa"/>
          </w:tcPr>
          <w:p w14:paraId="30954308" w14:textId="77777777" w:rsidR="00A53477" w:rsidRDefault="00A53477" w:rsidP="008D702E">
            <w:pPr>
              <w:tabs>
                <w:tab w:val="left" w:pos="1307"/>
              </w:tabs>
              <w:jc w:val="both"/>
            </w:pPr>
            <w:r>
              <w:t>Longueur</w:t>
            </w:r>
          </w:p>
        </w:tc>
        <w:tc>
          <w:tcPr>
            <w:tcW w:w="2493" w:type="dxa"/>
            <w:gridSpan w:val="2"/>
          </w:tcPr>
          <w:p w14:paraId="2EDB0C5E" w14:textId="581EC62C" w:rsidR="00A53477" w:rsidRDefault="00A53477" w:rsidP="005B1255">
            <w:pPr>
              <w:tabs>
                <w:tab w:val="left" w:pos="1307"/>
              </w:tabs>
              <w:cnfStyle w:val="000000000000" w:firstRow="0" w:lastRow="0" w:firstColumn="0" w:lastColumn="0" w:oddVBand="0" w:evenVBand="0" w:oddHBand="0" w:evenHBand="0" w:firstRowFirstColumn="0" w:firstRowLastColumn="0" w:lastRowFirstColumn="0" w:lastRowLastColumn="0"/>
            </w:pPr>
            <w:r>
              <w:t xml:space="preserve"> 1</w:t>
            </w:r>
            <w:r w:rsidRPr="00A53477">
              <w:rPr>
                <w:vertAlign w:val="superscript"/>
              </w:rPr>
              <w:t>ère</w:t>
            </w:r>
            <w:r>
              <w:t xml:space="preserve"> étape : 5 pages + 10 slides + vidéo de 3 mns</w:t>
            </w:r>
            <w:r w:rsidR="00583492">
              <w:t> ;</w:t>
            </w:r>
            <w:r>
              <w:t xml:space="preserve">                         2</w:t>
            </w:r>
            <w:r w:rsidRPr="00A53477">
              <w:rPr>
                <w:vertAlign w:val="superscript"/>
              </w:rPr>
              <w:t>e</w:t>
            </w:r>
            <w:r>
              <w:t xml:space="preserve"> étape : 25 pages</w:t>
            </w:r>
          </w:p>
        </w:tc>
        <w:tc>
          <w:tcPr>
            <w:tcW w:w="2494" w:type="dxa"/>
          </w:tcPr>
          <w:p w14:paraId="693963F8" w14:textId="402ED9B2" w:rsidR="00A53477" w:rsidRDefault="00A53477" w:rsidP="005B1255">
            <w:pPr>
              <w:tabs>
                <w:tab w:val="left" w:pos="1307"/>
              </w:tabs>
              <w:cnfStyle w:val="000000000000" w:firstRow="0" w:lastRow="0" w:firstColumn="0" w:lastColumn="0" w:oddVBand="0" w:evenVBand="0" w:oddHBand="0" w:evenHBand="0" w:firstRowFirstColumn="0" w:firstRowLastColumn="0" w:lastRowFirstColumn="0" w:lastRowLastColumn="0"/>
            </w:pPr>
            <w:r>
              <w:t>25 pages</w:t>
            </w:r>
          </w:p>
        </w:tc>
        <w:tc>
          <w:tcPr>
            <w:tcW w:w="2349" w:type="dxa"/>
          </w:tcPr>
          <w:p w14:paraId="59BD07AB" w14:textId="77777777" w:rsidR="00A53477" w:rsidRDefault="00A53477" w:rsidP="008D702E">
            <w:pPr>
              <w:tabs>
                <w:tab w:val="left" w:pos="1307"/>
              </w:tabs>
              <w:jc w:val="center"/>
              <w:cnfStyle w:val="000000000000" w:firstRow="0" w:lastRow="0" w:firstColumn="0" w:lastColumn="0" w:oddVBand="0" w:evenVBand="0" w:oddHBand="0" w:evenHBand="0" w:firstRowFirstColumn="0" w:firstRowLastColumn="0" w:lastRowFirstColumn="0" w:lastRowLastColumn="0"/>
            </w:pPr>
          </w:p>
        </w:tc>
      </w:tr>
      <w:tr w:rsidR="007F6373" w:rsidRPr="000146A8" w14:paraId="0AF7F62E" w14:textId="77777777" w:rsidTr="008D702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5" w:type="dxa"/>
          </w:tcPr>
          <w:p w14:paraId="6E8B56F0" w14:textId="77777777" w:rsidR="007F6373" w:rsidRDefault="007F6373" w:rsidP="008D702E">
            <w:pPr>
              <w:tabs>
                <w:tab w:val="left" w:pos="1307"/>
              </w:tabs>
              <w:jc w:val="both"/>
            </w:pPr>
            <w:r>
              <w:t>Partenariat</w:t>
            </w:r>
          </w:p>
        </w:tc>
        <w:tc>
          <w:tcPr>
            <w:tcW w:w="4987" w:type="dxa"/>
            <w:gridSpan w:val="3"/>
          </w:tcPr>
          <w:p w14:paraId="72931CBC" w14:textId="685FE10F" w:rsidR="007F6373" w:rsidRPr="000146A8" w:rsidRDefault="0041383F" w:rsidP="008D702E">
            <w:pPr>
              <w:tabs>
                <w:tab w:val="left" w:pos="1307"/>
              </w:tabs>
              <w:jc w:val="center"/>
              <w:cnfStyle w:val="000000100000" w:firstRow="0" w:lastRow="0" w:firstColumn="0" w:lastColumn="0" w:oddVBand="0" w:evenVBand="0" w:oddHBand="1" w:evenHBand="0" w:firstRowFirstColumn="0" w:firstRowLastColumn="0" w:lastRowFirstColumn="0" w:lastRowLastColumn="0"/>
            </w:pPr>
            <w:r>
              <w:t xml:space="preserve">Appels ouverts : monopartenariat. </w:t>
            </w:r>
            <w:r w:rsidR="000146A8" w:rsidRPr="000146A8">
              <w:t>Défis : mono ou consortium</w:t>
            </w:r>
          </w:p>
        </w:tc>
        <w:tc>
          <w:tcPr>
            <w:tcW w:w="2349" w:type="dxa"/>
          </w:tcPr>
          <w:p w14:paraId="10C259B4" w14:textId="77777777" w:rsidR="007F6373" w:rsidRPr="000146A8" w:rsidRDefault="007F6373" w:rsidP="008D702E">
            <w:pPr>
              <w:tabs>
                <w:tab w:val="left" w:pos="1307"/>
              </w:tabs>
              <w:jc w:val="center"/>
              <w:cnfStyle w:val="000000100000" w:firstRow="0" w:lastRow="0" w:firstColumn="0" w:lastColumn="0" w:oddVBand="0" w:evenVBand="0" w:oddHBand="1" w:evenHBand="0" w:firstRowFirstColumn="0" w:firstRowLastColumn="0" w:lastRowFirstColumn="0" w:lastRowLastColumn="0"/>
            </w:pPr>
          </w:p>
        </w:tc>
      </w:tr>
    </w:tbl>
    <w:p w14:paraId="7EA09B29" w14:textId="726D7B23" w:rsidR="00AC578E" w:rsidRDefault="00AC578E" w:rsidP="00746390">
      <w:pPr>
        <w:pBdr>
          <w:top w:val="nil"/>
          <w:left w:val="nil"/>
          <w:bottom w:val="nil"/>
          <w:right w:val="nil"/>
          <w:between w:val="nil"/>
        </w:pBdr>
        <w:tabs>
          <w:tab w:val="left" w:pos="1307"/>
        </w:tabs>
        <w:jc w:val="both"/>
      </w:pPr>
    </w:p>
    <w:p w14:paraId="2B8DBB43" w14:textId="77777777" w:rsidR="00A65D50" w:rsidRPr="004F0C7F" w:rsidRDefault="00967901" w:rsidP="009252F7">
      <w:pPr>
        <w:pStyle w:val="Paragraphedeliste"/>
        <w:numPr>
          <w:ilvl w:val="0"/>
          <w:numId w:val="13"/>
        </w:numPr>
        <w:rPr>
          <w:b/>
          <w:bCs/>
          <w:color w:val="403152" w:themeColor="accent4" w:themeShade="80"/>
        </w:rPr>
      </w:pPr>
      <w:r w:rsidRPr="004F0C7F">
        <w:rPr>
          <w:b/>
          <w:bCs/>
          <w:color w:val="403152" w:themeColor="accent4" w:themeShade="80"/>
        </w:rPr>
        <w:t xml:space="preserve">Evaluation </w:t>
      </w:r>
    </w:p>
    <w:p w14:paraId="3134AD29" w14:textId="77777777" w:rsidR="00A65D50" w:rsidRDefault="00A65D50" w:rsidP="00746390">
      <w:pPr>
        <w:pBdr>
          <w:top w:val="nil"/>
          <w:left w:val="nil"/>
          <w:bottom w:val="nil"/>
          <w:right w:val="nil"/>
          <w:between w:val="nil"/>
        </w:pBdr>
        <w:tabs>
          <w:tab w:val="left" w:pos="1307"/>
        </w:tabs>
        <w:jc w:val="both"/>
      </w:pPr>
    </w:p>
    <w:p w14:paraId="6D19E8AB" w14:textId="4CE3DB54" w:rsidR="00AC578E" w:rsidRDefault="00A65D50" w:rsidP="00746390">
      <w:pPr>
        <w:pBdr>
          <w:top w:val="nil"/>
          <w:left w:val="nil"/>
          <w:bottom w:val="nil"/>
          <w:right w:val="nil"/>
          <w:between w:val="nil"/>
        </w:pBdr>
        <w:tabs>
          <w:tab w:val="left" w:pos="1307"/>
        </w:tabs>
        <w:jc w:val="both"/>
      </w:pPr>
      <w:r>
        <w:t>E</w:t>
      </w:r>
      <w:r w:rsidR="00967901">
        <w:t>n 5 étapes :</w:t>
      </w:r>
    </w:p>
    <w:p w14:paraId="63EC1BDC" w14:textId="06AC4DF0" w:rsidR="00967901" w:rsidRDefault="00967901" w:rsidP="009252F7">
      <w:pPr>
        <w:pStyle w:val="Paragraphedeliste"/>
        <w:numPr>
          <w:ilvl w:val="0"/>
          <w:numId w:val="8"/>
        </w:numPr>
        <w:pBdr>
          <w:top w:val="nil"/>
          <w:left w:val="nil"/>
          <w:bottom w:val="nil"/>
          <w:right w:val="nil"/>
          <w:between w:val="nil"/>
        </w:pBdr>
        <w:tabs>
          <w:tab w:val="left" w:pos="1307"/>
        </w:tabs>
        <w:jc w:val="both"/>
      </w:pPr>
      <w:r>
        <w:t>Note de concept</w:t>
      </w:r>
    </w:p>
    <w:p w14:paraId="1B369AD3" w14:textId="6AB41C83" w:rsidR="00967901" w:rsidRDefault="00967901" w:rsidP="009252F7">
      <w:pPr>
        <w:pStyle w:val="Paragraphedeliste"/>
        <w:numPr>
          <w:ilvl w:val="0"/>
          <w:numId w:val="8"/>
        </w:numPr>
        <w:pBdr>
          <w:top w:val="nil"/>
          <w:left w:val="nil"/>
          <w:bottom w:val="nil"/>
          <w:right w:val="nil"/>
          <w:between w:val="nil"/>
        </w:pBdr>
        <w:tabs>
          <w:tab w:val="left" w:pos="1307"/>
        </w:tabs>
        <w:jc w:val="both"/>
      </w:pPr>
      <w:r>
        <w:t>Proposition détaillée</w:t>
      </w:r>
    </w:p>
    <w:p w14:paraId="1AB6D0CB" w14:textId="6E3918A9" w:rsidR="00967901" w:rsidRDefault="00967901" w:rsidP="009252F7">
      <w:pPr>
        <w:pStyle w:val="Paragraphedeliste"/>
        <w:numPr>
          <w:ilvl w:val="0"/>
          <w:numId w:val="8"/>
        </w:numPr>
        <w:pBdr>
          <w:top w:val="nil"/>
          <w:left w:val="nil"/>
          <w:bottom w:val="nil"/>
          <w:right w:val="nil"/>
          <w:between w:val="nil"/>
        </w:pBdr>
        <w:tabs>
          <w:tab w:val="left" w:pos="1307"/>
        </w:tabs>
        <w:jc w:val="both"/>
      </w:pPr>
      <w:r>
        <w:t>Evaluation en distanciel</w:t>
      </w:r>
    </w:p>
    <w:p w14:paraId="1F73F0C6" w14:textId="36F5179B" w:rsidR="00967901" w:rsidRDefault="00967901" w:rsidP="009252F7">
      <w:pPr>
        <w:pStyle w:val="Paragraphedeliste"/>
        <w:numPr>
          <w:ilvl w:val="0"/>
          <w:numId w:val="8"/>
        </w:numPr>
        <w:pBdr>
          <w:top w:val="nil"/>
          <w:left w:val="nil"/>
          <w:bottom w:val="nil"/>
          <w:right w:val="nil"/>
          <w:between w:val="nil"/>
        </w:pBdr>
        <w:tabs>
          <w:tab w:val="left" w:pos="1307"/>
        </w:tabs>
        <w:jc w:val="both"/>
      </w:pPr>
      <w:r>
        <w:t>Entretien avec un panel de sélection</w:t>
      </w:r>
    </w:p>
    <w:p w14:paraId="739776A3" w14:textId="450A97D3" w:rsidR="00967901" w:rsidRDefault="00967901" w:rsidP="009252F7">
      <w:pPr>
        <w:pStyle w:val="Paragraphedeliste"/>
        <w:numPr>
          <w:ilvl w:val="0"/>
          <w:numId w:val="8"/>
        </w:numPr>
        <w:pBdr>
          <w:top w:val="nil"/>
          <w:left w:val="nil"/>
          <w:bottom w:val="nil"/>
          <w:right w:val="nil"/>
          <w:between w:val="nil"/>
        </w:pBdr>
        <w:tabs>
          <w:tab w:val="left" w:pos="1307"/>
        </w:tabs>
        <w:jc w:val="both"/>
      </w:pPr>
      <w:r>
        <w:t>Processus de vérification et de conformité, qui pourrait mener à un investissement du fond de l’EIC</w:t>
      </w:r>
    </w:p>
    <w:p w14:paraId="19571E05" w14:textId="193AF334" w:rsidR="0045365C" w:rsidRDefault="0045365C" w:rsidP="00746390">
      <w:pPr>
        <w:pBdr>
          <w:top w:val="nil"/>
          <w:left w:val="nil"/>
          <w:bottom w:val="nil"/>
          <w:right w:val="nil"/>
          <w:between w:val="nil"/>
        </w:pBdr>
        <w:tabs>
          <w:tab w:val="left" w:pos="1307"/>
        </w:tabs>
        <w:jc w:val="both"/>
      </w:pPr>
      <w:r>
        <w:rPr>
          <w:noProof/>
        </w:rPr>
        <w:drawing>
          <wp:inline distT="0" distB="0" distL="0" distR="0" wp14:anchorId="3B5DE4CD" wp14:editId="03987F4E">
            <wp:extent cx="6472361" cy="3182250"/>
            <wp:effectExtent l="0" t="0" r="508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9">
                      <a:extLst>
                        <a:ext uri="{28A0092B-C50C-407E-A947-70E740481C1C}">
                          <a14:useLocalDpi xmlns:a14="http://schemas.microsoft.com/office/drawing/2010/main" val="0"/>
                        </a:ext>
                      </a:extLst>
                    </a:blip>
                    <a:stretch>
                      <a:fillRect/>
                    </a:stretch>
                  </pic:blipFill>
                  <pic:spPr>
                    <a:xfrm>
                      <a:off x="0" y="0"/>
                      <a:ext cx="6482661" cy="3187314"/>
                    </a:xfrm>
                    <a:prstGeom prst="rect">
                      <a:avLst/>
                    </a:prstGeom>
                  </pic:spPr>
                </pic:pic>
              </a:graphicData>
            </a:graphic>
          </wp:inline>
        </w:drawing>
      </w:r>
    </w:p>
    <w:p w14:paraId="461C7B98" w14:textId="5912C9AB" w:rsidR="0045365C" w:rsidRPr="0045365C" w:rsidRDefault="0045365C" w:rsidP="00746390">
      <w:pPr>
        <w:pBdr>
          <w:top w:val="nil"/>
          <w:left w:val="nil"/>
          <w:bottom w:val="nil"/>
          <w:right w:val="nil"/>
          <w:between w:val="nil"/>
        </w:pBdr>
        <w:tabs>
          <w:tab w:val="left" w:pos="1307"/>
        </w:tabs>
        <w:jc w:val="both"/>
        <w:rPr>
          <w:i/>
          <w:iCs/>
        </w:rPr>
      </w:pPr>
      <w:r w:rsidRPr="0045365C">
        <w:rPr>
          <w:i/>
          <w:iCs/>
        </w:rPr>
        <w:t xml:space="preserve">Source : </w:t>
      </w:r>
      <w:hyperlink r:id="rId20" w:history="1">
        <w:r w:rsidRPr="0045365C">
          <w:rPr>
            <w:rStyle w:val="Lienhypertexte"/>
            <w:i/>
            <w:iCs/>
          </w:rPr>
          <w:t>Site internet</w:t>
        </w:r>
      </w:hyperlink>
      <w:r w:rsidRPr="0045365C">
        <w:rPr>
          <w:i/>
          <w:iCs/>
        </w:rPr>
        <w:t xml:space="preserve"> du programme Horizon Europe</w:t>
      </w:r>
    </w:p>
    <w:p w14:paraId="4744B636" w14:textId="1AA35B19" w:rsidR="00A7416D" w:rsidRDefault="00A7416D" w:rsidP="00A7416D">
      <w:pPr>
        <w:pStyle w:val="Titre1"/>
        <w:ind w:firstLine="360"/>
      </w:pPr>
      <w:bookmarkStart w:id="1" w:name="_Hlk74843682"/>
      <w:r>
        <w:lastRenderedPageBreak/>
        <w:t>Ecosystèmes Européens d’Innovation</w:t>
      </w:r>
    </w:p>
    <w:bookmarkEnd w:id="1"/>
    <w:p w14:paraId="4366512B" w14:textId="07EA9678" w:rsidR="00A7416D" w:rsidRDefault="00A7416D" w:rsidP="007110C5">
      <w:pPr>
        <w:pBdr>
          <w:top w:val="nil"/>
          <w:left w:val="nil"/>
          <w:bottom w:val="nil"/>
          <w:right w:val="nil"/>
          <w:between w:val="nil"/>
        </w:pBdr>
        <w:tabs>
          <w:tab w:val="left" w:pos="1307"/>
        </w:tabs>
        <w:jc w:val="both"/>
      </w:pPr>
    </w:p>
    <w:p w14:paraId="36B4F056" w14:textId="30624BFD" w:rsidR="00A7416D" w:rsidRDefault="00A7416D" w:rsidP="00A7416D">
      <w:pPr>
        <w:pBdr>
          <w:top w:val="nil"/>
          <w:left w:val="nil"/>
          <w:bottom w:val="nil"/>
          <w:right w:val="nil"/>
          <w:between w:val="nil"/>
        </w:pBdr>
        <w:tabs>
          <w:tab w:val="left" w:pos="1307"/>
        </w:tabs>
        <w:jc w:val="both"/>
      </w:pPr>
      <w:r>
        <w:t>Le</w:t>
      </w:r>
      <w:r w:rsidR="000462AB">
        <w:t xml:space="preserve">s </w:t>
      </w:r>
      <w:r>
        <w:t>Écosystèmes</w:t>
      </w:r>
      <w:r w:rsidR="000462AB">
        <w:t xml:space="preserve"> E</w:t>
      </w:r>
      <w:r>
        <w:t>uropéens d’</w:t>
      </w:r>
      <w:r w:rsidR="000462AB">
        <w:t>I</w:t>
      </w:r>
      <w:r>
        <w:t>nnovation</w:t>
      </w:r>
      <w:r w:rsidR="000462AB">
        <w:t xml:space="preserve"> </w:t>
      </w:r>
      <w:r>
        <w:t>vise</w:t>
      </w:r>
      <w:r w:rsidR="000462AB">
        <w:t>nt</w:t>
      </w:r>
      <w:r>
        <w:t xml:space="preserve"> à renforcer l’innovation</w:t>
      </w:r>
      <w:r w:rsidR="000462AB">
        <w:t xml:space="preserve"> européenne</w:t>
      </w:r>
      <w:r>
        <w:t xml:space="preserve"> en </w:t>
      </w:r>
      <w:r w:rsidRPr="000462AB">
        <w:rPr>
          <w:b/>
          <w:bCs/>
        </w:rPr>
        <w:t>connectant l’ensemble des acteurs</w:t>
      </w:r>
      <w:r w:rsidR="000462AB">
        <w:rPr>
          <w:b/>
          <w:bCs/>
        </w:rPr>
        <w:t xml:space="preserve"> de l’innovation</w:t>
      </w:r>
      <w:r>
        <w:t xml:space="preserve"> - publics et privés, nationaux et locaux </w:t>
      </w:r>
      <w:r w:rsidR="000462AB">
        <w:t>–</w:t>
      </w:r>
      <w:r>
        <w:t xml:space="preserve"> </w:t>
      </w:r>
      <w:r w:rsidR="000462AB">
        <w:t xml:space="preserve">afin </w:t>
      </w:r>
      <w:r>
        <w:t>de faciliter la coordination, la coopération et la connectivité des différents acteurs et encourager l’échange de compétences, d’informations et de bonnes pratiques.</w:t>
      </w:r>
    </w:p>
    <w:p w14:paraId="5674E73C" w14:textId="77777777" w:rsidR="00A7416D" w:rsidRDefault="00A7416D" w:rsidP="00A7416D">
      <w:pPr>
        <w:pBdr>
          <w:top w:val="nil"/>
          <w:left w:val="nil"/>
          <w:bottom w:val="nil"/>
          <w:right w:val="nil"/>
          <w:between w:val="nil"/>
        </w:pBdr>
        <w:tabs>
          <w:tab w:val="left" w:pos="1307"/>
        </w:tabs>
        <w:jc w:val="both"/>
      </w:pPr>
    </w:p>
    <w:p w14:paraId="4D9B240A" w14:textId="72B298C0" w:rsidR="00A7416D" w:rsidRDefault="0041205E" w:rsidP="00A7416D">
      <w:pPr>
        <w:pBdr>
          <w:top w:val="nil"/>
          <w:left w:val="nil"/>
          <w:bottom w:val="nil"/>
          <w:right w:val="nil"/>
          <w:between w:val="nil"/>
        </w:pBdr>
        <w:tabs>
          <w:tab w:val="left" w:pos="1307"/>
        </w:tabs>
        <w:jc w:val="both"/>
      </w:pPr>
      <w:r>
        <w:t>Les objectifs des EEI sont de :</w:t>
      </w:r>
    </w:p>
    <w:p w14:paraId="7CE29DE2" w14:textId="07F8DE5C" w:rsidR="0041205E" w:rsidRDefault="00F56D05" w:rsidP="009252F7">
      <w:pPr>
        <w:pStyle w:val="Paragraphedeliste"/>
        <w:numPr>
          <w:ilvl w:val="0"/>
          <w:numId w:val="8"/>
        </w:numPr>
        <w:pBdr>
          <w:top w:val="nil"/>
          <w:left w:val="nil"/>
          <w:bottom w:val="nil"/>
          <w:right w:val="nil"/>
          <w:between w:val="nil"/>
        </w:pBdr>
        <w:tabs>
          <w:tab w:val="left" w:pos="1307"/>
        </w:tabs>
        <w:jc w:val="both"/>
      </w:pPr>
      <w:r>
        <w:t>Rassembler</w:t>
      </w:r>
      <w:r w:rsidR="0041205E">
        <w:t xml:space="preserve"> des personnes ou des organisations dont le but premier est l'innovation, et</w:t>
      </w:r>
    </w:p>
    <w:p w14:paraId="107EBA41" w14:textId="00F5F514" w:rsidR="0041205E" w:rsidRDefault="00F56D05" w:rsidP="009252F7">
      <w:pPr>
        <w:pStyle w:val="Paragraphedeliste"/>
        <w:numPr>
          <w:ilvl w:val="0"/>
          <w:numId w:val="8"/>
        </w:numPr>
        <w:pBdr>
          <w:top w:val="nil"/>
          <w:left w:val="nil"/>
          <w:bottom w:val="nil"/>
          <w:right w:val="nil"/>
          <w:between w:val="nil"/>
        </w:pBdr>
        <w:tabs>
          <w:tab w:val="left" w:pos="1307"/>
        </w:tabs>
        <w:jc w:val="both"/>
      </w:pPr>
      <w:r>
        <w:t>Créer</w:t>
      </w:r>
      <w:r w:rsidR="0041205E">
        <w:t xml:space="preserve"> des liens entre les ressources (telles que les fonds, les équipements et les installations), les organisations (telles que les établissements d'enseignement supérieur, les organisations de recherche et de technologie, les entreprises, les investisseurs en capital-risque et les intermédiaires financiers), les investisseurs et les décideurs.</w:t>
      </w:r>
    </w:p>
    <w:p w14:paraId="42BCD532" w14:textId="614BB10F" w:rsidR="00A7416D" w:rsidRDefault="00A7416D" w:rsidP="00A7416D">
      <w:pPr>
        <w:pBdr>
          <w:top w:val="nil"/>
          <w:left w:val="nil"/>
          <w:bottom w:val="nil"/>
          <w:right w:val="nil"/>
          <w:between w:val="nil"/>
        </w:pBdr>
        <w:tabs>
          <w:tab w:val="left" w:pos="1307"/>
        </w:tabs>
        <w:jc w:val="both"/>
      </w:pPr>
    </w:p>
    <w:p w14:paraId="2FD47ABF" w14:textId="17D870EE" w:rsidR="00A7416D" w:rsidRDefault="00A7416D" w:rsidP="00A7416D">
      <w:pPr>
        <w:pBdr>
          <w:top w:val="nil"/>
          <w:left w:val="nil"/>
          <w:bottom w:val="nil"/>
          <w:right w:val="nil"/>
          <w:between w:val="nil"/>
        </w:pBdr>
        <w:tabs>
          <w:tab w:val="left" w:pos="1307"/>
        </w:tabs>
        <w:jc w:val="both"/>
      </w:pPr>
      <w:r>
        <w:t>Les actions soutenues seront les suivantes :</w:t>
      </w:r>
    </w:p>
    <w:p w14:paraId="74C0A1B0" w14:textId="6AEB3FDE" w:rsidR="00A7416D" w:rsidRDefault="00A7416D" w:rsidP="009252F7">
      <w:pPr>
        <w:pStyle w:val="Paragraphedeliste"/>
        <w:numPr>
          <w:ilvl w:val="0"/>
          <w:numId w:val="14"/>
        </w:numPr>
        <w:jc w:val="both"/>
      </w:pPr>
      <w:r w:rsidRPr="00A7416D">
        <w:t xml:space="preserve">Soutien à des programmes conjoints d’activités d’innovation ou de </w:t>
      </w:r>
      <w:r>
        <w:t>« </w:t>
      </w:r>
      <w:r w:rsidRPr="00A7416D">
        <w:rPr>
          <w:i/>
          <w:iCs/>
        </w:rPr>
        <w:t>business acceleration</w:t>
      </w:r>
      <w:r>
        <w:rPr>
          <w:i/>
          <w:iCs/>
        </w:rPr>
        <w:t> »</w:t>
      </w:r>
      <w:r w:rsidRPr="00A7416D">
        <w:t xml:space="preserve"> mis en </w:t>
      </w:r>
      <w:r w:rsidR="003A77B1" w:rsidRPr="00A7416D">
        <w:t>œuvre</w:t>
      </w:r>
      <w:r w:rsidRPr="00A7416D">
        <w:t xml:space="preserve"> par les acteurs nationaux et locaux ;</w:t>
      </w:r>
    </w:p>
    <w:p w14:paraId="216AC621" w14:textId="77777777" w:rsidR="00A7416D" w:rsidRDefault="00A7416D" w:rsidP="009252F7">
      <w:pPr>
        <w:pStyle w:val="Paragraphedeliste"/>
        <w:numPr>
          <w:ilvl w:val="0"/>
          <w:numId w:val="14"/>
        </w:numPr>
        <w:jc w:val="both"/>
      </w:pPr>
      <w:r w:rsidRPr="00A7416D">
        <w:t>Mobilisation d’outils spécifiques (</w:t>
      </w:r>
      <w:r w:rsidRPr="00A7416D">
        <w:rPr>
          <w:i/>
          <w:iCs/>
        </w:rPr>
        <w:t>Horizon Results Platform, Innovation Radar</w:t>
      </w:r>
      <w:r w:rsidRPr="00A7416D">
        <w:t>) ;</w:t>
      </w:r>
    </w:p>
    <w:p w14:paraId="43E3ABF9" w14:textId="77777777" w:rsidR="00A7416D" w:rsidRDefault="00A7416D" w:rsidP="009252F7">
      <w:pPr>
        <w:pStyle w:val="Paragraphedeliste"/>
        <w:numPr>
          <w:ilvl w:val="0"/>
          <w:numId w:val="14"/>
        </w:numPr>
        <w:jc w:val="both"/>
      </w:pPr>
      <w:r w:rsidRPr="00A7416D">
        <w:t>Actions pour encourager un cadre de réglementation harmonisé pour les </w:t>
      </w:r>
      <w:r w:rsidRPr="00A7416D">
        <w:rPr>
          <w:i/>
          <w:iCs/>
        </w:rPr>
        <w:t>start-ups</w:t>
      </w:r>
      <w:r w:rsidRPr="00A7416D">
        <w:t> en Europe ;</w:t>
      </w:r>
    </w:p>
    <w:p w14:paraId="69C62855" w14:textId="77777777" w:rsidR="00A7416D" w:rsidRDefault="00A7416D" w:rsidP="009252F7">
      <w:pPr>
        <w:pStyle w:val="Paragraphedeliste"/>
        <w:numPr>
          <w:ilvl w:val="0"/>
          <w:numId w:val="14"/>
        </w:numPr>
        <w:jc w:val="both"/>
      </w:pPr>
      <w:r w:rsidRPr="00A7416D">
        <w:t>Éducation à l’entrepreneuriat et promotion des carrières entrepreneuriales internationales ; </w:t>
      </w:r>
    </w:p>
    <w:p w14:paraId="34A820EF" w14:textId="2CA66DBE" w:rsidR="000462AB" w:rsidRDefault="00A7416D" w:rsidP="009252F7">
      <w:pPr>
        <w:pStyle w:val="Paragraphedeliste"/>
        <w:numPr>
          <w:ilvl w:val="0"/>
          <w:numId w:val="14"/>
        </w:numPr>
        <w:jc w:val="both"/>
      </w:pPr>
      <w:r w:rsidRPr="00A7416D">
        <w:t>Actions pour renforcer l’accès au capital, à l’investissement et au </w:t>
      </w:r>
      <w:r w:rsidRPr="00A7416D">
        <w:rPr>
          <w:i/>
          <w:iCs/>
        </w:rPr>
        <w:t>scale-up</w:t>
      </w:r>
      <w:r w:rsidRPr="00A7416D">
        <w:t>, en particulier dans les écosystèmes les moins bien développés</w:t>
      </w:r>
    </w:p>
    <w:p w14:paraId="163AE584" w14:textId="6C83C3A7" w:rsidR="00013795" w:rsidRDefault="00013795" w:rsidP="00A7416D">
      <w:pPr>
        <w:pBdr>
          <w:top w:val="nil"/>
          <w:left w:val="nil"/>
          <w:bottom w:val="nil"/>
          <w:right w:val="nil"/>
          <w:between w:val="nil"/>
        </w:pBdr>
        <w:tabs>
          <w:tab w:val="left" w:pos="1307"/>
        </w:tabs>
        <w:jc w:val="both"/>
      </w:pPr>
    </w:p>
    <w:p w14:paraId="1888A89C" w14:textId="10C419CB" w:rsidR="00013795" w:rsidRDefault="00844FB9" w:rsidP="00A7416D">
      <w:pPr>
        <w:pBdr>
          <w:top w:val="nil"/>
          <w:left w:val="nil"/>
          <w:bottom w:val="nil"/>
          <w:right w:val="nil"/>
          <w:between w:val="nil"/>
        </w:pBdr>
        <w:tabs>
          <w:tab w:val="left" w:pos="1307"/>
        </w:tabs>
        <w:jc w:val="both"/>
      </w:pPr>
      <w:r>
        <w:t xml:space="preserve">Le programme de travail et les opportunités de financement seront bientôt publiés et seront disponibles sur </w:t>
      </w:r>
      <w:hyperlink r:id="rId21" w:anchor="ecl-inpage-208" w:history="1">
        <w:r w:rsidRPr="009042B5">
          <w:rPr>
            <w:rStyle w:val="Lienhypertexte"/>
          </w:rPr>
          <w:t>cette page</w:t>
        </w:r>
      </w:hyperlink>
      <w:r>
        <w:t>.</w:t>
      </w:r>
    </w:p>
    <w:p w14:paraId="527C63D6" w14:textId="1EE3B90A" w:rsidR="00013795" w:rsidRDefault="00013795" w:rsidP="00A7416D">
      <w:pPr>
        <w:pBdr>
          <w:top w:val="nil"/>
          <w:left w:val="nil"/>
          <w:bottom w:val="nil"/>
          <w:right w:val="nil"/>
          <w:between w:val="nil"/>
        </w:pBdr>
        <w:tabs>
          <w:tab w:val="left" w:pos="1307"/>
        </w:tabs>
        <w:jc w:val="both"/>
      </w:pPr>
    </w:p>
    <w:p w14:paraId="731731FF" w14:textId="5F80B177" w:rsidR="00013795" w:rsidRDefault="00013795" w:rsidP="00013795">
      <w:pPr>
        <w:pStyle w:val="Titre1"/>
        <w:ind w:firstLine="360"/>
      </w:pPr>
      <w:r>
        <w:t>Institut Européen d’Innovation et de Technologie</w:t>
      </w:r>
    </w:p>
    <w:p w14:paraId="1CEEAA98" w14:textId="0B134AEF" w:rsidR="00013795" w:rsidRDefault="00013795" w:rsidP="00A7416D">
      <w:pPr>
        <w:pBdr>
          <w:top w:val="nil"/>
          <w:left w:val="nil"/>
          <w:bottom w:val="nil"/>
          <w:right w:val="nil"/>
          <w:between w:val="nil"/>
        </w:pBdr>
        <w:tabs>
          <w:tab w:val="left" w:pos="1307"/>
        </w:tabs>
        <w:jc w:val="both"/>
      </w:pPr>
    </w:p>
    <w:p w14:paraId="54610E36" w14:textId="74FDF3C4" w:rsidR="00013795" w:rsidRDefault="00013795" w:rsidP="00013795">
      <w:pPr>
        <w:pBdr>
          <w:top w:val="nil"/>
          <w:left w:val="nil"/>
          <w:bottom w:val="nil"/>
          <w:right w:val="nil"/>
          <w:between w:val="nil"/>
        </w:pBdr>
        <w:tabs>
          <w:tab w:val="left" w:pos="1307"/>
        </w:tabs>
        <w:jc w:val="both"/>
      </w:pPr>
      <w:r>
        <w:t>Créé en 2008, l'Institut européen d'innovation et de technologie est une structure européenne indépendante basée à Budapest.</w:t>
      </w:r>
    </w:p>
    <w:p w14:paraId="2A6B03A3" w14:textId="77777777" w:rsidR="00013795" w:rsidRDefault="00013795" w:rsidP="00013795">
      <w:pPr>
        <w:pBdr>
          <w:top w:val="nil"/>
          <w:left w:val="nil"/>
          <w:bottom w:val="nil"/>
          <w:right w:val="nil"/>
          <w:between w:val="nil"/>
        </w:pBdr>
        <w:tabs>
          <w:tab w:val="left" w:pos="1307"/>
        </w:tabs>
        <w:jc w:val="both"/>
      </w:pPr>
    </w:p>
    <w:p w14:paraId="66774BC5" w14:textId="737A6EB3" w:rsidR="00013795" w:rsidRDefault="00013795" w:rsidP="00013795">
      <w:pPr>
        <w:pBdr>
          <w:top w:val="nil"/>
          <w:left w:val="nil"/>
          <w:bottom w:val="nil"/>
          <w:right w:val="nil"/>
          <w:between w:val="nil"/>
        </w:pBdr>
        <w:tabs>
          <w:tab w:val="left" w:pos="1307"/>
        </w:tabs>
        <w:jc w:val="both"/>
      </w:pPr>
      <w:r>
        <w:t xml:space="preserve">Son objectif est de renforcer la capacité d’innovation de l’Europe en </w:t>
      </w:r>
      <w:r w:rsidRPr="00013795">
        <w:rPr>
          <w:b/>
          <w:bCs/>
        </w:rPr>
        <w:t>développant des écosystèmes d’innovation durables autour de la R&amp;I, l’enseignement supérieur et les entreprises</w:t>
      </w:r>
      <w:r>
        <w:t xml:space="preserve">. </w:t>
      </w:r>
      <w:r w:rsidR="00857100">
        <w:t xml:space="preserve">Elle est composée de 8 </w:t>
      </w:r>
      <w:r>
        <w:t>Communautés de la Connaissance et de l’Innovation (</w:t>
      </w:r>
      <w:r w:rsidRPr="00857100">
        <w:rPr>
          <w:i/>
          <w:iCs/>
        </w:rPr>
        <w:t>Knowledge and Innovation Communities</w:t>
      </w:r>
      <w:r>
        <w:t xml:space="preserve"> - KIC)</w:t>
      </w:r>
      <w:r w:rsidR="00857100">
        <w:t xml:space="preserve"> qui forment des</w:t>
      </w:r>
      <w:r>
        <w:t xml:space="preserve"> partenariats europée</w:t>
      </w:r>
      <w:r w:rsidR="00857100">
        <w:t>ns spécialisés sur des problématiques mondiales, dont un grand nombre lié au climat.</w:t>
      </w:r>
      <w:r>
        <w:t xml:space="preserve"> </w:t>
      </w:r>
    </w:p>
    <w:p w14:paraId="09A2B051" w14:textId="77777777" w:rsidR="00013795" w:rsidRDefault="00013795" w:rsidP="00013795">
      <w:pPr>
        <w:pBdr>
          <w:top w:val="nil"/>
          <w:left w:val="nil"/>
          <w:bottom w:val="nil"/>
          <w:right w:val="nil"/>
          <w:between w:val="nil"/>
        </w:pBdr>
        <w:tabs>
          <w:tab w:val="left" w:pos="1307"/>
        </w:tabs>
        <w:jc w:val="both"/>
      </w:pPr>
    </w:p>
    <w:p w14:paraId="51D06551" w14:textId="76C7AC8C" w:rsidR="00013795" w:rsidRDefault="00013795" w:rsidP="00013795">
      <w:pPr>
        <w:pBdr>
          <w:top w:val="nil"/>
          <w:left w:val="nil"/>
          <w:bottom w:val="nil"/>
          <w:right w:val="nil"/>
          <w:between w:val="nil"/>
        </w:pBdr>
        <w:tabs>
          <w:tab w:val="left" w:pos="1307"/>
        </w:tabs>
        <w:jc w:val="both"/>
      </w:pPr>
      <w:r>
        <w:t>Chaque KIC est organisée autour de centres</w:t>
      </w:r>
      <w:r w:rsidR="00857100">
        <w:t xml:space="preserve">, </w:t>
      </w:r>
      <w:r>
        <w:t xml:space="preserve">pôles géographiques pour l’intégration concrète des différents acteurs du </w:t>
      </w:r>
      <w:r w:rsidRPr="00013795">
        <w:rPr>
          <w:b/>
          <w:bCs/>
        </w:rPr>
        <w:t>triangle de la connaissance</w:t>
      </w:r>
      <w:r>
        <w:t xml:space="preserve"> (universités, organismes de recherche, entreprises, institutions financières, collectivités territoriales...) conduisant une large palette d’activités :</w:t>
      </w:r>
    </w:p>
    <w:p w14:paraId="4909B74A" w14:textId="77777777" w:rsidR="00013795" w:rsidRDefault="00013795" w:rsidP="009252F7">
      <w:pPr>
        <w:pStyle w:val="Paragraphedeliste"/>
        <w:numPr>
          <w:ilvl w:val="0"/>
          <w:numId w:val="8"/>
        </w:numPr>
        <w:pBdr>
          <w:top w:val="nil"/>
          <w:left w:val="nil"/>
          <w:bottom w:val="nil"/>
          <w:right w:val="nil"/>
          <w:between w:val="nil"/>
        </w:pBdr>
        <w:tabs>
          <w:tab w:val="left" w:pos="1307"/>
        </w:tabs>
        <w:jc w:val="both"/>
      </w:pPr>
      <w:r>
        <w:t>Éducation : formation diplômante (master, doctorat) et formation continue avec la création de diplômes conjoints dans des secteurs émergents portant à la fois sur l’entrepreneuriat et sur des thématiques relevant de secteurs émergents en lien avec les objectifs de la KIC.</w:t>
      </w:r>
    </w:p>
    <w:p w14:paraId="3A68D0BE" w14:textId="77777777" w:rsidR="00013795" w:rsidRDefault="00013795" w:rsidP="009252F7">
      <w:pPr>
        <w:pStyle w:val="Paragraphedeliste"/>
        <w:numPr>
          <w:ilvl w:val="0"/>
          <w:numId w:val="8"/>
        </w:numPr>
        <w:pBdr>
          <w:top w:val="nil"/>
          <w:left w:val="nil"/>
          <w:bottom w:val="nil"/>
          <w:right w:val="nil"/>
          <w:between w:val="nil"/>
        </w:pBdr>
        <w:tabs>
          <w:tab w:val="left" w:pos="1307"/>
        </w:tabs>
        <w:jc w:val="both"/>
      </w:pPr>
      <w:r>
        <w:t>Transfert de technologies : accélération de la mise sur le marché de solutions innovantes pour l’économie et la société et répondre aux problématiques sociétales mondiales. Les KIC financent essentiellement l’exploitation commerciale des résultats de projets de recherche existants.</w:t>
      </w:r>
    </w:p>
    <w:p w14:paraId="2B6313F6" w14:textId="48F00125" w:rsidR="00013795" w:rsidRDefault="00013795" w:rsidP="009252F7">
      <w:pPr>
        <w:pStyle w:val="Paragraphedeliste"/>
        <w:numPr>
          <w:ilvl w:val="0"/>
          <w:numId w:val="8"/>
        </w:numPr>
        <w:pBdr>
          <w:top w:val="nil"/>
          <w:left w:val="nil"/>
          <w:bottom w:val="nil"/>
          <w:right w:val="nil"/>
          <w:between w:val="nil"/>
        </w:pBdr>
        <w:tabs>
          <w:tab w:val="left" w:pos="1307"/>
        </w:tabs>
        <w:jc w:val="both"/>
      </w:pPr>
      <w:r>
        <w:t>Entreprenariat : formation à l’innovation et à l’entrepreneuriat (y compris pour soutenir la conversion entrepreneuriale des universités) et soutien à la création de start-ups.</w:t>
      </w:r>
    </w:p>
    <w:p w14:paraId="476F7088" w14:textId="77777777" w:rsidR="00013795" w:rsidRDefault="00013795" w:rsidP="00013795">
      <w:pPr>
        <w:pBdr>
          <w:top w:val="nil"/>
          <w:left w:val="nil"/>
          <w:bottom w:val="nil"/>
          <w:right w:val="nil"/>
          <w:between w:val="nil"/>
        </w:pBdr>
        <w:tabs>
          <w:tab w:val="left" w:pos="1307"/>
        </w:tabs>
        <w:jc w:val="both"/>
      </w:pPr>
    </w:p>
    <w:p w14:paraId="299B04A1" w14:textId="2215451B" w:rsidR="00013795" w:rsidRDefault="008332C0" w:rsidP="00013795">
      <w:pPr>
        <w:pBdr>
          <w:top w:val="nil"/>
          <w:left w:val="nil"/>
          <w:bottom w:val="nil"/>
          <w:right w:val="nil"/>
          <w:between w:val="nil"/>
        </w:pBdr>
        <w:tabs>
          <w:tab w:val="left" w:pos="1307"/>
        </w:tabs>
        <w:jc w:val="both"/>
      </w:pPr>
      <w:r>
        <w:lastRenderedPageBreak/>
        <w:t xml:space="preserve">Les </w:t>
      </w:r>
      <w:r w:rsidR="00013795">
        <w:t>KIC sont désormais financées selon un principe de cofinancement dégressif : recevant au départ un cofinancement de 100% de l’EIT, les KIC voient la part de la contribution EIT diminuer progressivement avec l’objectif de soutenabilité financière totale des KIC à l’issue de 7 à 15 ans maximum. Par ailleurs, le financement pluriannuel des KIC sera désormais possible.</w:t>
      </w:r>
    </w:p>
    <w:p w14:paraId="209C3675" w14:textId="23E1F5DB" w:rsidR="000462AB" w:rsidRDefault="000462AB" w:rsidP="00013795">
      <w:pPr>
        <w:pBdr>
          <w:top w:val="nil"/>
          <w:left w:val="nil"/>
          <w:bottom w:val="nil"/>
          <w:right w:val="nil"/>
          <w:between w:val="nil"/>
        </w:pBdr>
        <w:tabs>
          <w:tab w:val="left" w:pos="1307"/>
        </w:tabs>
        <w:jc w:val="both"/>
      </w:pPr>
    </w:p>
    <w:p w14:paraId="2EA193BF" w14:textId="3AF5CBED" w:rsidR="000462AB" w:rsidRDefault="00F56D05" w:rsidP="00013795">
      <w:pPr>
        <w:pBdr>
          <w:top w:val="nil"/>
          <w:left w:val="nil"/>
          <w:bottom w:val="nil"/>
          <w:right w:val="nil"/>
          <w:between w:val="nil"/>
        </w:pBdr>
        <w:tabs>
          <w:tab w:val="left" w:pos="1307"/>
        </w:tabs>
        <w:jc w:val="both"/>
      </w:pPr>
      <w:r>
        <w:t xml:space="preserve">La liste des KIC ainsi qu’une description détaillée de chacun d’entre eux peut être trouvée </w:t>
      </w:r>
      <w:hyperlink r:id="rId22" w:history="1">
        <w:r w:rsidRPr="00013795">
          <w:rPr>
            <w:rStyle w:val="Lienhypertexte"/>
          </w:rPr>
          <w:t>ici</w:t>
        </w:r>
      </w:hyperlink>
      <w:r>
        <w:t>.</w:t>
      </w:r>
    </w:p>
    <w:p w14:paraId="088E74E5" w14:textId="7A6EC829" w:rsidR="00013795" w:rsidRDefault="00013795" w:rsidP="00A7416D">
      <w:pPr>
        <w:pBdr>
          <w:top w:val="nil"/>
          <w:left w:val="nil"/>
          <w:bottom w:val="nil"/>
          <w:right w:val="nil"/>
          <w:between w:val="nil"/>
        </w:pBdr>
        <w:tabs>
          <w:tab w:val="left" w:pos="1307"/>
        </w:tabs>
        <w:jc w:val="both"/>
      </w:pPr>
    </w:p>
    <w:p w14:paraId="6B9BE473" w14:textId="4C33A481" w:rsidR="00010052" w:rsidRDefault="00010052" w:rsidP="00010052">
      <w:pPr>
        <w:pStyle w:val="Titre1"/>
        <w:ind w:firstLine="360"/>
      </w:pPr>
      <w:r>
        <w:t>Exemples de projet</w:t>
      </w:r>
      <w:r>
        <w:t>s EIC</w:t>
      </w:r>
    </w:p>
    <w:p w14:paraId="0701D02C" w14:textId="4C8FA377" w:rsidR="00010052" w:rsidRDefault="00010052" w:rsidP="00A7416D">
      <w:pPr>
        <w:pBdr>
          <w:top w:val="nil"/>
          <w:left w:val="nil"/>
          <w:bottom w:val="nil"/>
          <w:right w:val="nil"/>
          <w:between w:val="nil"/>
        </w:pBdr>
        <w:tabs>
          <w:tab w:val="left" w:pos="1307"/>
        </w:tabs>
        <w:jc w:val="both"/>
      </w:pPr>
    </w:p>
    <w:p w14:paraId="3D7EEF96" w14:textId="2B9DEF7C" w:rsidR="00C648C8" w:rsidRDefault="00C648C8" w:rsidP="00A7416D">
      <w:pPr>
        <w:pBdr>
          <w:top w:val="nil"/>
          <w:left w:val="nil"/>
          <w:bottom w:val="nil"/>
          <w:right w:val="nil"/>
          <w:between w:val="nil"/>
        </w:pBdr>
        <w:tabs>
          <w:tab w:val="left" w:pos="1307"/>
        </w:tabs>
        <w:jc w:val="both"/>
      </w:pPr>
      <w:r>
        <w:t>Ces exemples de projets ont été financés par l’EIC Accelerator au cours de la programmation 2014-2020.</w:t>
      </w:r>
    </w:p>
    <w:p w14:paraId="6371D68C" w14:textId="77777777" w:rsidR="00C648C8" w:rsidRDefault="00C648C8" w:rsidP="00A7416D">
      <w:pPr>
        <w:pBdr>
          <w:top w:val="nil"/>
          <w:left w:val="nil"/>
          <w:bottom w:val="nil"/>
          <w:right w:val="nil"/>
          <w:between w:val="nil"/>
        </w:pBdr>
        <w:tabs>
          <w:tab w:val="left" w:pos="1307"/>
        </w:tabs>
        <w:jc w:val="both"/>
      </w:pPr>
    </w:p>
    <w:tbl>
      <w:tblPr>
        <w:tblStyle w:val="Grilledutableau"/>
        <w:tblW w:w="0" w:type="auto"/>
        <w:tblLook w:val="04A0" w:firstRow="1" w:lastRow="0" w:firstColumn="1" w:lastColumn="0" w:noHBand="0" w:noVBand="1"/>
      </w:tblPr>
      <w:tblGrid>
        <w:gridCol w:w="9771"/>
      </w:tblGrid>
      <w:tr w:rsidR="00010052" w14:paraId="6BE94D26" w14:textId="77777777" w:rsidTr="00EA2AD5">
        <w:tc>
          <w:tcPr>
            <w:tcW w:w="9771" w:type="dxa"/>
            <w:shd w:val="clear" w:color="auto" w:fill="E5DFEC" w:themeFill="accent4" w:themeFillTint="33"/>
          </w:tcPr>
          <w:p w14:paraId="7A9B75F1" w14:textId="081E6547" w:rsidR="00010052" w:rsidRPr="00716270" w:rsidRDefault="00010052" w:rsidP="00EA2AD5">
            <w:pPr>
              <w:tabs>
                <w:tab w:val="left" w:pos="1307"/>
              </w:tabs>
              <w:jc w:val="center"/>
              <w:rPr>
                <w:i/>
                <w:iCs/>
              </w:rPr>
            </w:pPr>
            <w:r w:rsidRPr="00010052">
              <w:rPr>
                <w:b/>
                <w:bCs/>
              </w:rPr>
              <w:t>NURSPRAY</w:t>
            </w:r>
          </w:p>
          <w:p w14:paraId="39088F18" w14:textId="77777777" w:rsidR="00010052" w:rsidRPr="00716270" w:rsidRDefault="00010052" w:rsidP="00EA2AD5">
            <w:pPr>
              <w:tabs>
                <w:tab w:val="left" w:pos="1307"/>
              </w:tabs>
            </w:pPr>
          </w:p>
          <w:p w14:paraId="18665EF8" w14:textId="7122B252" w:rsidR="00010052" w:rsidRDefault="00010052" w:rsidP="00EA2AD5">
            <w:pPr>
              <w:tabs>
                <w:tab w:val="left" w:pos="1307"/>
              </w:tabs>
              <w:jc w:val="both"/>
            </w:pPr>
            <w:r w:rsidRPr="0076064D">
              <w:rPr>
                <w:u w:val="single"/>
              </w:rPr>
              <w:t>Porteur de projet :</w:t>
            </w:r>
            <w:r>
              <w:t xml:space="preserve"> </w:t>
            </w:r>
            <w:r>
              <w:t>FYTEKO (société belge)</w:t>
            </w:r>
          </w:p>
          <w:p w14:paraId="2A55FC01" w14:textId="340C161D" w:rsidR="00010052" w:rsidRPr="00904B3F" w:rsidRDefault="00010052" w:rsidP="00EA2AD5">
            <w:pPr>
              <w:tabs>
                <w:tab w:val="left" w:pos="1307"/>
              </w:tabs>
              <w:jc w:val="both"/>
            </w:pPr>
            <w:hyperlink r:id="rId23" w:history="1">
              <w:r w:rsidRPr="00010052">
                <w:rPr>
                  <w:rStyle w:val="Lienhypertexte"/>
                </w:rPr>
                <w:t>Site web</w:t>
              </w:r>
            </w:hyperlink>
          </w:p>
          <w:p w14:paraId="3FB176C6" w14:textId="39E64DDE" w:rsidR="00010052" w:rsidRPr="00716270" w:rsidRDefault="00010052" w:rsidP="00EA2AD5">
            <w:pPr>
              <w:tabs>
                <w:tab w:val="left" w:pos="1307"/>
              </w:tabs>
            </w:pPr>
            <w:r w:rsidRPr="00716270">
              <w:rPr>
                <w:u w:val="single"/>
              </w:rPr>
              <w:t>Budget total :</w:t>
            </w:r>
            <w:r w:rsidRPr="00716270">
              <w:t xml:space="preserve"> </w:t>
            </w:r>
            <w:r>
              <w:t>2 761 812,50</w:t>
            </w:r>
            <w:r w:rsidRPr="00716270">
              <w:t xml:space="preserve"> €</w:t>
            </w:r>
          </w:p>
          <w:p w14:paraId="16265D8D" w14:textId="316B9716" w:rsidR="00010052" w:rsidRDefault="00010052" w:rsidP="00010052">
            <w:pPr>
              <w:tabs>
                <w:tab w:val="left" w:pos="1307"/>
              </w:tabs>
            </w:pPr>
            <w:r w:rsidRPr="0076064D">
              <w:rPr>
                <w:u w:val="single"/>
              </w:rPr>
              <w:t>Montant de la subvention UE :</w:t>
            </w:r>
            <w:r>
              <w:t xml:space="preserve"> </w:t>
            </w:r>
            <w:r>
              <w:t>1 933 268,75 €</w:t>
            </w:r>
          </w:p>
          <w:p w14:paraId="078FF24D" w14:textId="65429B22" w:rsidR="00010052" w:rsidRPr="00010052" w:rsidRDefault="00010052" w:rsidP="00010052">
            <w:pPr>
              <w:tabs>
                <w:tab w:val="left" w:pos="1307"/>
              </w:tabs>
            </w:pPr>
            <w:r>
              <w:rPr>
                <w:u w:val="single"/>
              </w:rPr>
              <w:t>Durée du projet :</w:t>
            </w:r>
            <w:r>
              <w:t xml:space="preserve"> 1</w:t>
            </w:r>
            <w:r w:rsidRPr="00010052">
              <w:rPr>
                <w:vertAlign w:val="superscript"/>
              </w:rPr>
              <w:t>er</w:t>
            </w:r>
            <w:r>
              <w:t xml:space="preserve"> mai 2020 – 31 décembre 2022</w:t>
            </w:r>
          </w:p>
          <w:p w14:paraId="6DA461F2" w14:textId="77777777" w:rsidR="00010052" w:rsidRDefault="00010052" w:rsidP="00EA2AD5">
            <w:pPr>
              <w:tabs>
                <w:tab w:val="left" w:pos="1307"/>
              </w:tabs>
              <w:jc w:val="both"/>
              <w:rPr>
                <w:u w:val="single"/>
              </w:rPr>
            </w:pPr>
          </w:p>
          <w:p w14:paraId="567F42F7" w14:textId="4A215289" w:rsidR="00010052" w:rsidRDefault="00010052" w:rsidP="00010052">
            <w:pPr>
              <w:tabs>
                <w:tab w:val="left" w:pos="1307"/>
              </w:tabs>
              <w:jc w:val="both"/>
            </w:pPr>
            <w:r>
              <w:t xml:space="preserve">Le projet NURSPRAY vise à développer un </w:t>
            </w:r>
            <w:r>
              <w:t>pulvérisateur foliaire innovant pour permettre aux cultures de gérer l’effet du changement climatique</w:t>
            </w:r>
            <w:r>
              <w:t>.</w:t>
            </w:r>
          </w:p>
          <w:p w14:paraId="54CA31E7" w14:textId="1BF07085" w:rsidR="00010052" w:rsidRPr="00E241CA" w:rsidRDefault="00010052" w:rsidP="00010052">
            <w:pPr>
              <w:tabs>
                <w:tab w:val="left" w:pos="1307"/>
              </w:tabs>
              <w:jc w:val="both"/>
            </w:pPr>
            <w:r>
              <w:t>Le changement climatique expose les cultures à des conditions extrêmes, telles que la sécheresse, les pluies irrégulières et les vagues de chaleur extrême. Ces conditions extrêmes constituent des facteurs de stress abiotique qui peuvent avoir des répercussions de taille sur la croissance et le rendement des plantes. Il est donc essentiel de renforcer la résistance des cultures. Le projet NURSPRAY,</w:t>
            </w:r>
            <w:r w:rsidR="00C648C8">
              <w:t xml:space="preserve"> </w:t>
            </w:r>
            <w:r>
              <w:t>commercialisera un pulvérisateur foliaire biostimulant innovant pour permettre aux plantes d’activer leurs mécanismes de défense, afin de tolérer et de mieux récupérer face au stress abiotique. La formule du pulvérisateur repose sur une molécule de signalisation biosourcée qui peut déclencher une réponse spécifique des plantes face aux conditions de stress. L’efficacité du produit a été démontrée dans plus d’une centaine d’essais sur site au cours des deux dernières années. Des essais à grande échelle ont déjà été entamés en Afrique et en Amérique latine. La technologie NURSPRAY a été inventée et brevetée par Fyteko, une société belge.</w:t>
            </w:r>
          </w:p>
        </w:tc>
      </w:tr>
    </w:tbl>
    <w:p w14:paraId="0C6EEF06" w14:textId="3D062F96" w:rsidR="00010052" w:rsidRDefault="00010052" w:rsidP="00A7416D">
      <w:pPr>
        <w:pBdr>
          <w:top w:val="nil"/>
          <w:left w:val="nil"/>
          <w:bottom w:val="nil"/>
          <w:right w:val="nil"/>
          <w:between w:val="nil"/>
        </w:pBdr>
        <w:tabs>
          <w:tab w:val="left" w:pos="1307"/>
        </w:tabs>
        <w:jc w:val="both"/>
      </w:pPr>
    </w:p>
    <w:tbl>
      <w:tblPr>
        <w:tblStyle w:val="Grilledutableau"/>
        <w:tblW w:w="0" w:type="auto"/>
        <w:tblLook w:val="04A0" w:firstRow="1" w:lastRow="0" w:firstColumn="1" w:lastColumn="0" w:noHBand="0" w:noVBand="1"/>
      </w:tblPr>
      <w:tblGrid>
        <w:gridCol w:w="9771"/>
      </w:tblGrid>
      <w:tr w:rsidR="00C648C8" w14:paraId="159A6150" w14:textId="77777777" w:rsidTr="00EA2AD5">
        <w:tc>
          <w:tcPr>
            <w:tcW w:w="9771" w:type="dxa"/>
            <w:shd w:val="clear" w:color="auto" w:fill="E5DFEC" w:themeFill="accent4" w:themeFillTint="33"/>
          </w:tcPr>
          <w:p w14:paraId="3EB053AD" w14:textId="208810D8" w:rsidR="00C648C8" w:rsidRPr="00716270" w:rsidRDefault="00C648C8" w:rsidP="00EA2AD5">
            <w:pPr>
              <w:tabs>
                <w:tab w:val="left" w:pos="1307"/>
              </w:tabs>
              <w:jc w:val="center"/>
              <w:rPr>
                <w:i/>
                <w:iCs/>
              </w:rPr>
            </w:pPr>
            <w:r>
              <w:rPr>
                <w:b/>
                <w:bCs/>
              </w:rPr>
              <w:t>EcoStock</w:t>
            </w:r>
          </w:p>
          <w:p w14:paraId="0D86E1B4" w14:textId="77777777" w:rsidR="00C648C8" w:rsidRPr="00716270" w:rsidRDefault="00C648C8" w:rsidP="00EA2AD5">
            <w:pPr>
              <w:tabs>
                <w:tab w:val="left" w:pos="1307"/>
              </w:tabs>
            </w:pPr>
          </w:p>
          <w:p w14:paraId="0A8D5F4E" w14:textId="0431861E" w:rsidR="00C648C8" w:rsidRPr="00C648C8" w:rsidRDefault="00C648C8" w:rsidP="00EA2AD5">
            <w:pPr>
              <w:tabs>
                <w:tab w:val="left" w:pos="1307"/>
              </w:tabs>
              <w:jc w:val="both"/>
            </w:pPr>
            <w:r w:rsidRPr="0076064D">
              <w:rPr>
                <w:u w:val="single"/>
              </w:rPr>
              <w:t>Porteur de projet :</w:t>
            </w:r>
            <w:r>
              <w:t xml:space="preserve"> ECO-TECH CERAM (FR)</w:t>
            </w:r>
          </w:p>
          <w:p w14:paraId="6C8DED8E" w14:textId="22C29BD8" w:rsidR="00C648C8" w:rsidRPr="00904B3F" w:rsidRDefault="00C648C8" w:rsidP="00EA2AD5">
            <w:pPr>
              <w:tabs>
                <w:tab w:val="left" w:pos="1307"/>
              </w:tabs>
              <w:jc w:val="both"/>
            </w:pPr>
            <w:hyperlink r:id="rId24" w:history="1">
              <w:r w:rsidRPr="00010052">
                <w:rPr>
                  <w:rStyle w:val="Lienhypertexte"/>
                </w:rPr>
                <w:t>Site web</w:t>
              </w:r>
            </w:hyperlink>
          </w:p>
          <w:p w14:paraId="1BDF3F99" w14:textId="1F0AA3BA" w:rsidR="00C648C8" w:rsidRPr="00716270" w:rsidRDefault="00C648C8" w:rsidP="00EA2AD5">
            <w:pPr>
              <w:tabs>
                <w:tab w:val="left" w:pos="1307"/>
              </w:tabs>
            </w:pPr>
            <w:r w:rsidRPr="00716270">
              <w:rPr>
                <w:u w:val="single"/>
              </w:rPr>
              <w:t>Budget total :</w:t>
            </w:r>
            <w:r w:rsidRPr="00716270">
              <w:t xml:space="preserve"> </w:t>
            </w:r>
            <w:r>
              <w:t>1 978 750,00</w:t>
            </w:r>
            <w:r w:rsidRPr="00716270">
              <w:t xml:space="preserve"> €</w:t>
            </w:r>
          </w:p>
          <w:p w14:paraId="5E979058" w14:textId="71E755C1" w:rsidR="00C648C8" w:rsidRDefault="00C648C8" w:rsidP="00EA2AD5">
            <w:pPr>
              <w:tabs>
                <w:tab w:val="left" w:pos="1307"/>
              </w:tabs>
            </w:pPr>
            <w:r w:rsidRPr="0076064D">
              <w:rPr>
                <w:u w:val="single"/>
              </w:rPr>
              <w:t>Montant de la subvention UE :</w:t>
            </w:r>
            <w:r>
              <w:t xml:space="preserve"> 1</w:t>
            </w:r>
            <w:r>
              <w:t> 385 125,00</w:t>
            </w:r>
            <w:r>
              <w:t xml:space="preserve"> €</w:t>
            </w:r>
          </w:p>
          <w:p w14:paraId="77896FE9" w14:textId="1223CDF0" w:rsidR="00C648C8" w:rsidRPr="00010052" w:rsidRDefault="00C648C8" w:rsidP="00EA2AD5">
            <w:pPr>
              <w:tabs>
                <w:tab w:val="left" w:pos="1307"/>
              </w:tabs>
            </w:pPr>
            <w:r>
              <w:rPr>
                <w:u w:val="single"/>
              </w:rPr>
              <w:t>Durée du projet :</w:t>
            </w:r>
            <w:r>
              <w:t xml:space="preserve"> 1</w:t>
            </w:r>
            <w:r w:rsidRPr="00010052">
              <w:rPr>
                <w:vertAlign w:val="superscript"/>
              </w:rPr>
              <w:t>er</w:t>
            </w:r>
            <w:r>
              <w:t xml:space="preserve"> </w:t>
            </w:r>
            <w:r>
              <w:t>novembre 2019 – 30 avril 2022</w:t>
            </w:r>
          </w:p>
          <w:p w14:paraId="6E9725B8" w14:textId="77777777" w:rsidR="00C648C8" w:rsidRDefault="00C648C8" w:rsidP="00EA2AD5">
            <w:pPr>
              <w:tabs>
                <w:tab w:val="left" w:pos="1307"/>
              </w:tabs>
              <w:jc w:val="both"/>
              <w:rPr>
                <w:u w:val="single"/>
              </w:rPr>
            </w:pPr>
          </w:p>
          <w:p w14:paraId="00960069" w14:textId="09B3BDEA" w:rsidR="00C648C8" w:rsidRPr="00E241CA" w:rsidRDefault="00C648C8" w:rsidP="00EA2AD5">
            <w:pPr>
              <w:tabs>
                <w:tab w:val="left" w:pos="1307"/>
              </w:tabs>
              <w:jc w:val="both"/>
            </w:pPr>
            <w:r w:rsidRPr="00C648C8">
              <w:t>Économiser de l’énergie thermique est essentiel, notamment dans les industries lourdes où le gaspillage de chaleur peut atteindre jusqu’à 40 %. Les solutions existantes sont dotées d’un potentiel massif, mais elles sont essentiellement appliquées dans les grandes industries en raison de leurs coûts élevés. Le projet EcoStock</w:t>
            </w:r>
            <w:r>
              <w:t xml:space="preserve"> </w:t>
            </w:r>
            <w:r w:rsidRPr="00C648C8">
              <w:t>propose une solution pour améliorer l’efficacité énergétique, réduire les émissions de CO2 et abaisser les coûts. Elle utilise de la céramique réfractaire recyclée pour le stockage énergétique, est élaborée avec une technologie EcoStock à faible risque et est conçue comme une solution sûre et abordable. EcoStock cible un large éventail d’industries lourdes issues de différents secteurs et dont les systèmes de récupération de déchets devraient atteindre les 58,8 milliards d’euros d’ici 2021.</w:t>
            </w:r>
          </w:p>
        </w:tc>
      </w:tr>
    </w:tbl>
    <w:p w14:paraId="315C5832" w14:textId="77777777" w:rsidR="00C648C8" w:rsidRDefault="00C648C8" w:rsidP="00A7416D">
      <w:pPr>
        <w:pBdr>
          <w:top w:val="nil"/>
          <w:left w:val="nil"/>
          <w:bottom w:val="nil"/>
          <w:right w:val="nil"/>
          <w:between w:val="nil"/>
        </w:pBdr>
        <w:tabs>
          <w:tab w:val="left" w:pos="1307"/>
        </w:tabs>
        <w:jc w:val="both"/>
      </w:pPr>
    </w:p>
    <w:p w14:paraId="0000003A" w14:textId="77777777" w:rsidR="00CC781C" w:rsidRDefault="008F7158">
      <w:pPr>
        <w:pStyle w:val="Titre1"/>
        <w:ind w:firstLine="360"/>
      </w:pPr>
      <w:r>
        <w:lastRenderedPageBreak/>
        <w:t>Informations pratiques</w:t>
      </w:r>
    </w:p>
    <w:p w14:paraId="0000003B" w14:textId="77777777" w:rsidR="00CC781C" w:rsidRDefault="00CC781C">
      <w:pPr>
        <w:tabs>
          <w:tab w:val="left" w:pos="1307"/>
        </w:tabs>
        <w:jc w:val="both"/>
      </w:pPr>
    </w:p>
    <w:p w14:paraId="0000003C" w14:textId="36F61E5D" w:rsidR="00CC781C" w:rsidRDefault="002E1BA5">
      <w:pPr>
        <w:numPr>
          <w:ilvl w:val="0"/>
          <w:numId w:val="3"/>
        </w:numPr>
        <w:pBdr>
          <w:top w:val="nil"/>
          <w:left w:val="nil"/>
          <w:bottom w:val="nil"/>
          <w:right w:val="nil"/>
          <w:between w:val="nil"/>
        </w:pBdr>
        <w:tabs>
          <w:tab w:val="left" w:pos="1307"/>
        </w:tabs>
        <w:jc w:val="both"/>
      </w:pPr>
      <w:r>
        <w:t xml:space="preserve">Des points de contacts nationaux (PCN) existent pour ce programme, et peuvent être contacté en cas de question ou de besoin de conseil. Ces PCN sont spécialisés par thématique transversale, par cluster, ou par instrument : PCN </w:t>
      </w:r>
      <w:r w:rsidR="008F6BFD">
        <w:t xml:space="preserve">questions </w:t>
      </w:r>
      <w:r>
        <w:t>juridiques et financières ; PCN Santé ; PCN Fission ; PCN transports ; etc.</w:t>
      </w:r>
    </w:p>
    <w:p w14:paraId="3AAB2B34" w14:textId="5C51F036" w:rsidR="002E1BA5" w:rsidRDefault="002E1BA5" w:rsidP="002E1BA5">
      <w:pPr>
        <w:pBdr>
          <w:top w:val="nil"/>
          <w:left w:val="nil"/>
          <w:bottom w:val="nil"/>
          <w:right w:val="nil"/>
          <w:between w:val="nil"/>
        </w:pBdr>
        <w:tabs>
          <w:tab w:val="left" w:pos="1307"/>
        </w:tabs>
        <w:ind w:left="360"/>
        <w:jc w:val="both"/>
      </w:pPr>
      <w:r>
        <w:t xml:space="preserve">La liste complète est disponible </w:t>
      </w:r>
      <w:hyperlink r:id="rId25" w:history="1">
        <w:r w:rsidRPr="002E1BA5">
          <w:rPr>
            <w:rStyle w:val="Lienhypertexte"/>
          </w:rPr>
          <w:t>ici</w:t>
        </w:r>
      </w:hyperlink>
      <w:r>
        <w:t>.</w:t>
      </w:r>
    </w:p>
    <w:p w14:paraId="00000040" w14:textId="77777777" w:rsidR="00CC781C" w:rsidRDefault="00CC781C">
      <w:pPr>
        <w:pBdr>
          <w:top w:val="nil"/>
          <w:left w:val="nil"/>
          <w:bottom w:val="nil"/>
          <w:right w:val="nil"/>
          <w:between w:val="nil"/>
        </w:pBdr>
        <w:tabs>
          <w:tab w:val="left" w:pos="1307"/>
        </w:tabs>
        <w:ind w:left="360"/>
        <w:jc w:val="both"/>
        <w:rPr>
          <w:color w:val="000000"/>
        </w:rPr>
      </w:pPr>
    </w:p>
    <w:p w14:paraId="25CF4703" w14:textId="77777777" w:rsidR="003D7457" w:rsidRPr="007110C5" w:rsidRDefault="003D7457" w:rsidP="003D7457">
      <w:pPr>
        <w:numPr>
          <w:ilvl w:val="0"/>
          <w:numId w:val="1"/>
        </w:numPr>
        <w:pBdr>
          <w:top w:val="nil"/>
          <w:left w:val="nil"/>
          <w:bottom w:val="nil"/>
          <w:right w:val="nil"/>
          <w:between w:val="nil"/>
        </w:pBdr>
        <w:tabs>
          <w:tab w:val="left" w:pos="1307"/>
        </w:tabs>
        <w:jc w:val="both"/>
      </w:pPr>
      <w:r>
        <w:rPr>
          <w:color w:val="000000"/>
        </w:rPr>
        <w:t xml:space="preserve">Pour Horizon Europe les appels à projets sont publiés selon une fréquence irrégulière. Des programmes de travail sont publiés tous les deux ans, pour présenter les appels à venir. Il est impératif de consulter ces programmes de travail dès leur publication, car certains appels (et donc certains sujets) ne seront publiés qu’une seule fois sur toute la durée de la programmation (donc sur les 7 ans). </w:t>
      </w:r>
    </w:p>
    <w:p w14:paraId="1BE40174" w14:textId="77777777" w:rsidR="003D7457" w:rsidRPr="007110C5" w:rsidRDefault="003D7457" w:rsidP="003D7457">
      <w:pPr>
        <w:pBdr>
          <w:top w:val="nil"/>
          <w:left w:val="nil"/>
          <w:bottom w:val="nil"/>
          <w:right w:val="nil"/>
          <w:between w:val="nil"/>
        </w:pBdr>
        <w:tabs>
          <w:tab w:val="left" w:pos="1307"/>
        </w:tabs>
        <w:jc w:val="both"/>
      </w:pPr>
    </w:p>
    <w:p w14:paraId="15187DEF" w14:textId="77777777" w:rsidR="003D7457" w:rsidRDefault="003D7457" w:rsidP="003D7457">
      <w:pPr>
        <w:numPr>
          <w:ilvl w:val="0"/>
          <w:numId w:val="1"/>
        </w:numPr>
        <w:pBdr>
          <w:top w:val="nil"/>
          <w:left w:val="nil"/>
          <w:bottom w:val="nil"/>
          <w:right w:val="nil"/>
          <w:between w:val="nil"/>
        </w:pBdr>
        <w:tabs>
          <w:tab w:val="left" w:pos="1307"/>
        </w:tabs>
        <w:jc w:val="both"/>
      </w:pPr>
      <w:r>
        <w:rPr>
          <w:color w:val="000000"/>
        </w:rPr>
        <w:t>Le programme Horizon 2020 était assez sélectif (une moyenne de 10 % de sélection, mais chaque pilier et chaque cluster dispose en fait de taux de sélectivité différents).</w:t>
      </w:r>
    </w:p>
    <w:p w14:paraId="7C4A7FC2" w14:textId="706A9FA1" w:rsidR="00B34036" w:rsidRDefault="00B34036" w:rsidP="003D7457">
      <w:pPr>
        <w:pBdr>
          <w:top w:val="nil"/>
          <w:left w:val="nil"/>
          <w:bottom w:val="nil"/>
          <w:right w:val="nil"/>
          <w:between w:val="nil"/>
        </w:pBdr>
        <w:tabs>
          <w:tab w:val="left" w:pos="1307"/>
        </w:tabs>
        <w:jc w:val="both"/>
      </w:pPr>
    </w:p>
    <w:p w14:paraId="457ADED2" w14:textId="61DE2205" w:rsidR="003032ED" w:rsidRDefault="003032ED" w:rsidP="009252F7">
      <w:pPr>
        <w:pStyle w:val="Paragraphedeliste"/>
        <w:numPr>
          <w:ilvl w:val="0"/>
          <w:numId w:val="12"/>
        </w:numPr>
        <w:pBdr>
          <w:top w:val="nil"/>
          <w:left w:val="nil"/>
          <w:bottom w:val="nil"/>
          <w:right w:val="nil"/>
          <w:between w:val="nil"/>
        </w:pBdr>
        <w:tabs>
          <w:tab w:val="left" w:pos="1307"/>
        </w:tabs>
        <w:jc w:val="both"/>
      </w:pPr>
      <w:r>
        <w:t>Site internet</w:t>
      </w:r>
      <w:r w:rsidR="003366F3">
        <w:t xml:space="preserve"> dédié</w:t>
      </w:r>
      <w:r>
        <w:t xml:space="preserve"> de l’EIC</w:t>
      </w:r>
      <w:r w:rsidR="00F56D05">
        <w:t xml:space="preserve"> (comprenant également des informations sur les autres programmes du pilier</w:t>
      </w:r>
      <w:r w:rsidR="008332C0">
        <w:t> 3</w:t>
      </w:r>
      <w:r w:rsidR="00F56D05">
        <w:t>, et une page dédiée aux appels à projets EIC)</w:t>
      </w:r>
      <w:r>
        <w:t xml:space="preserve"> : </w:t>
      </w:r>
      <w:hyperlink r:id="rId26" w:history="1">
        <w:r w:rsidRPr="00366AE4">
          <w:rPr>
            <w:rStyle w:val="Lienhypertexte"/>
          </w:rPr>
          <w:t>https://eic.ec.europa.eu/index_en</w:t>
        </w:r>
      </w:hyperlink>
      <w:r>
        <w:t xml:space="preserve"> </w:t>
      </w:r>
    </w:p>
    <w:p w14:paraId="0F52A89F" w14:textId="711B8918" w:rsidR="00693C61" w:rsidRDefault="00693C61" w:rsidP="003D7457">
      <w:pPr>
        <w:pBdr>
          <w:top w:val="nil"/>
          <w:left w:val="nil"/>
          <w:bottom w:val="nil"/>
          <w:right w:val="nil"/>
          <w:between w:val="nil"/>
        </w:pBdr>
        <w:tabs>
          <w:tab w:val="left" w:pos="1307"/>
        </w:tabs>
        <w:jc w:val="both"/>
      </w:pPr>
    </w:p>
    <w:p w14:paraId="48673EF0" w14:textId="22AB314D" w:rsidR="00693C61" w:rsidRDefault="00693C61" w:rsidP="009252F7">
      <w:pPr>
        <w:pStyle w:val="Paragraphedeliste"/>
        <w:numPr>
          <w:ilvl w:val="0"/>
          <w:numId w:val="11"/>
        </w:numPr>
        <w:pBdr>
          <w:top w:val="nil"/>
          <w:left w:val="nil"/>
          <w:bottom w:val="nil"/>
          <w:right w:val="nil"/>
          <w:between w:val="nil"/>
        </w:pBdr>
        <w:tabs>
          <w:tab w:val="left" w:pos="1307"/>
        </w:tabs>
        <w:jc w:val="both"/>
      </w:pPr>
      <w:r>
        <w:t>Les liens des différents documents peuvent être modifiés avec le temps. Tous les documents de travail (</w:t>
      </w:r>
      <w:hyperlink r:id="rId27" w:history="1">
        <w:r w:rsidRPr="00693C61">
          <w:rPr>
            <w:rStyle w:val="Lienhypertexte"/>
          </w:rPr>
          <w:t>Programme de travail</w:t>
        </w:r>
      </w:hyperlink>
      <w:r>
        <w:t xml:space="preserve">, </w:t>
      </w:r>
      <w:hyperlink r:id="rId28" w:history="1">
        <w:r w:rsidRPr="00693C61">
          <w:rPr>
            <w:rStyle w:val="Lienhypertexte"/>
          </w:rPr>
          <w:t>Modèle de subvention</w:t>
        </w:r>
      </w:hyperlink>
      <w:r>
        <w:t xml:space="preserve">, trames de rédaction etc.) peuvent être trouvés dans la section « How to Participate » puis « Reference Documents » du portail </w:t>
      </w:r>
      <w:hyperlink r:id="rId29" w:history="1">
        <w:r w:rsidRPr="00693C61">
          <w:rPr>
            <w:rStyle w:val="Lienhypertexte"/>
          </w:rPr>
          <w:t>Funding&amp;Tenders</w:t>
        </w:r>
      </w:hyperlink>
      <w:r>
        <w:t xml:space="preserve">. </w:t>
      </w:r>
    </w:p>
    <w:p w14:paraId="1C8F2C3E" w14:textId="767BCB4A" w:rsidR="008F13A7" w:rsidRDefault="008F13A7" w:rsidP="008F13A7">
      <w:pPr>
        <w:pBdr>
          <w:top w:val="nil"/>
          <w:left w:val="nil"/>
          <w:bottom w:val="nil"/>
          <w:right w:val="nil"/>
          <w:between w:val="nil"/>
        </w:pBdr>
        <w:tabs>
          <w:tab w:val="left" w:pos="1307"/>
        </w:tabs>
        <w:jc w:val="both"/>
      </w:pPr>
    </w:p>
    <w:p w14:paraId="0632DA49" w14:textId="47932239" w:rsidR="008F13A7" w:rsidRDefault="007D7D15" w:rsidP="009252F7">
      <w:pPr>
        <w:pStyle w:val="Paragraphedeliste"/>
        <w:numPr>
          <w:ilvl w:val="0"/>
          <w:numId w:val="11"/>
        </w:numPr>
        <w:pBdr>
          <w:top w:val="nil"/>
          <w:left w:val="nil"/>
          <w:bottom w:val="nil"/>
          <w:right w:val="nil"/>
          <w:between w:val="nil"/>
        </w:pBdr>
        <w:tabs>
          <w:tab w:val="left" w:pos="1307"/>
        </w:tabs>
        <w:jc w:val="both"/>
      </w:pPr>
      <w:r>
        <w:t>La BPI propose un accompagnement dédié pour l’instrument l’EIC, avec la p</w:t>
      </w:r>
      <w:r w:rsidRPr="007D7D15">
        <w:t>rise en charge partielle du coût d</w:t>
      </w:r>
      <w:r>
        <w:t xml:space="preserve">’une </w:t>
      </w:r>
      <w:r w:rsidRPr="007D7D15">
        <w:t>prestation de diagnostic et de conseil, ciblant une candidature à l’Accélérateur de l’EIC</w:t>
      </w:r>
      <w:r w:rsidR="0042768C">
        <w:t xml:space="preserve"> (jusqu’à 10 000€ HT maximum, plafonné à 50% du montant total)</w:t>
      </w:r>
      <w:r w:rsidRPr="007D7D15">
        <w:t>.</w:t>
      </w:r>
      <w:r>
        <w:t xml:space="preserve"> Plus d’information</w:t>
      </w:r>
      <w:r w:rsidR="00010052">
        <w:t>s</w:t>
      </w:r>
      <w:r>
        <w:t xml:space="preserve"> </w:t>
      </w:r>
      <w:hyperlink r:id="rId30" w:history="1">
        <w:r w:rsidRPr="007D7D15">
          <w:rPr>
            <w:rStyle w:val="Lienhypertexte"/>
          </w:rPr>
          <w:t>ici</w:t>
        </w:r>
      </w:hyperlink>
      <w:r>
        <w:t>.</w:t>
      </w:r>
    </w:p>
    <w:sectPr w:rsidR="008F13A7">
      <w:headerReference w:type="default" r:id="rId31"/>
      <w:footerReference w:type="even" r:id="rId32"/>
      <w:footerReference w:type="default" r:id="rId33"/>
      <w:pgSz w:w="11900" w:h="16840"/>
      <w:pgMar w:top="1276" w:right="985"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DE531" w14:textId="77777777" w:rsidR="009252F7" w:rsidRDefault="009252F7">
      <w:r>
        <w:separator/>
      </w:r>
    </w:p>
  </w:endnote>
  <w:endnote w:type="continuationSeparator" w:id="0">
    <w:p w14:paraId="648467DB" w14:textId="77777777" w:rsidR="009252F7" w:rsidRDefault="00925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Corps CS)">
    <w:altName w:val="Times New Roman"/>
    <w:charset w:val="00"/>
    <w:family w:val="roman"/>
    <w:pitch w:val="default"/>
  </w:font>
  <w:font w:name="Trajan Pro">
    <w:altName w:val="Cambria"/>
    <w:panose1 w:val="00000000000000000000"/>
    <w:charset w:val="4D"/>
    <w:family w:val="roman"/>
    <w:notTrueType/>
    <w:pitch w:val="variable"/>
    <w:sig w:usb0="00000007" w:usb1="00000000" w:usb2="00000000" w:usb3="00000000" w:csb0="00000093" w:csb1="00000000"/>
  </w:font>
  <w:font w:name="Lucida Grande">
    <w:altName w:val="Segoe UI"/>
    <w:charset w:val="00"/>
    <w:family w:val="swiss"/>
    <w:pitch w:val="variable"/>
    <w:sig w:usb0="E1000AEF" w:usb1="5000A1FF" w:usb2="00000000" w:usb3="00000000" w:csb0="000001BF" w:csb1="00000000"/>
  </w:font>
  <w:font w:name="Georgia">
    <w:altName w:val="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Orator Std">
    <w:altName w:val="Calibri"/>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77777777" w:rsidR="00D34040" w:rsidRDefault="00D34040">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00000047" w14:textId="77777777" w:rsidR="00D34040" w:rsidRDefault="00D34040">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8" w14:textId="2B1C0C0D" w:rsidR="00D34040" w:rsidRDefault="00D34040">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D34040" w14:paraId="4046B859" w14:textId="77777777">
      <w:tc>
        <w:tcPr>
          <w:tcW w:w="1661" w:type="dxa"/>
        </w:tcPr>
        <w:p w14:paraId="00000049" w14:textId="77777777" w:rsidR="00D34040" w:rsidRDefault="00D34040">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0000004A" w14:textId="77777777" w:rsidR="00D34040" w:rsidRDefault="00D34040">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0000004B" w14:textId="77777777" w:rsidR="00D34040" w:rsidRDefault="00D34040">
          <w:pPr>
            <w:pBdr>
              <w:top w:val="nil"/>
              <w:left w:val="nil"/>
              <w:bottom w:val="nil"/>
              <w:right w:val="nil"/>
              <w:between w:val="nil"/>
            </w:pBdr>
            <w:tabs>
              <w:tab w:val="center" w:pos="4536"/>
              <w:tab w:val="right" w:pos="9072"/>
            </w:tabs>
            <w:ind w:right="360"/>
            <w:rPr>
              <w:color w:val="000000"/>
            </w:rPr>
          </w:pPr>
          <w:r>
            <w:rPr>
              <w:color w:val="000000"/>
            </w:rPr>
            <w:t>2021</w:t>
          </w:r>
        </w:p>
      </w:tc>
    </w:tr>
  </w:tbl>
  <w:p w14:paraId="0000004C" w14:textId="77777777" w:rsidR="00D34040" w:rsidRDefault="00D34040">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C562A" w14:textId="77777777" w:rsidR="009252F7" w:rsidRDefault="009252F7">
      <w:r>
        <w:separator/>
      </w:r>
    </w:p>
  </w:footnote>
  <w:footnote w:type="continuationSeparator" w:id="0">
    <w:p w14:paraId="1A3A8DDA" w14:textId="77777777" w:rsidR="009252F7" w:rsidRDefault="009252F7">
      <w:r>
        <w:continuationSeparator/>
      </w:r>
    </w:p>
  </w:footnote>
  <w:footnote w:id="1">
    <w:p w14:paraId="5548CD50" w14:textId="0B255A49" w:rsidR="00B45050" w:rsidRDefault="00B45050">
      <w:pPr>
        <w:pStyle w:val="Notedebasdepage"/>
      </w:pPr>
      <w:r>
        <w:rPr>
          <w:rStyle w:val="Appelnotedebasdep"/>
        </w:rPr>
        <w:footnoteRef/>
      </w:r>
      <w:r>
        <w:t xml:space="preserve"> Pour les appels EIC et tous les autres financements. Cf annexe 1 du </w:t>
      </w:r>
      <w:hyperlink r:id="rId1" w:history="1">
        <w:r w:rsidRPr="00B45050">
          <w:rPr>
            <w:rStyle w:val="Lienhypertexte"/>
          </w:rPr>
          <w:t>programme de travail</w:t>
        </w:r>
      </w:hyperlink>
      <w:r>
        <w:t xml:space="preserve">, p.126 </w:t>
      </w:r>
    </w:p>
  </w:footnote>
  <w:footnote w:id="2">
    <w:p w14:paraId="1BB3B93D" w14:textId="0646902A" w:rsidR="00E461E8" w:rsidRDefault="00E461E8" w:rsidP="005433ED">
      <w:pPr>
        <w:pStyle w:val="Notedebasdepage"/>
        <w:jc w:val="both"/>
      </w:pPr>
      <w:r>
        <w:rPr>
          <w:rStyle w:val="Appelnotedebasdep"/>
        </w:rPr>
        <w:footnoteRef/>
      </w:r>
      <w:r>
        <w:t xml:space="preserve"> </w:t>
      </w:r>
      <w:r w:rsidRPr="00E461E8">
        <w:t xml:space="preserve">Les coûts éligibles le sont à 100%, c’est-à-dire qu’à part la limitation à 2.5 millions de subvention maximum aucun second plafond n’est à prévoir (par type de </w:t>
      </w:r>
      <w:r w:rsidR="002244DB">
        <w:t>coûts</w:t>
      </w:r>
      <w:r w:rsidRPr="00E461E8">
        <w:t xml:space="preserve"> par exemple).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5" w14:textId="77777777" w:rsidR="00D34040" w:rsidRDefault="00D34040">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58240" behindDoc="0" locked="0" layoutInCell="1" hidden="0" allowOverlap="1" wp14:anchorId="38F424DE" wp14:editId="093723BB">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59264" behindDoc="0" locked="0" layoutInCell="1" hidden="0" allowOverlap="1" wp14:anchorId="23627090" wp14:editId="1284FD90">
          <wp:simplePos x="0" y="0"/>
          <wp:positionH relativeFrom="column">
            <wp:posOffset>-701039</wp:posOffset>
          </wp:positionH>
          <wp:positionV relativeFrom="paragraph">
            <wp:posOffset>-400049</wp:posOffset>
          </wp:positionV>
          <wp:extent cx="795655" cy="795655"/>
          <wp:effectExtent l="0" t="0" r="0" b="0"/>
          <wp:wrapSquare wrapText="bothSides" distT="0" distB="0" distL="0" distR="0"/>
          <wp:docPr id="11"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2"/>
                  <a:srcRect/>
                  <a:stretch>
                    <a:fillRect/>
                  </a:stretch>
                </pic:blipFill>
                <pic:spPr>
                  <a:xfrm>
                    <a:off x="0" y="0"/>
                    <a:ext cx="795655" cy="795655"/>
                  </a:xfrm>
                  <a:prstGeom prst="rect">
                    <a:avLst/>
                  </a:prstGeom>
                  <a:ln/>
                </pic:spPr>
              </pic:pic>
            </a:graphicData>
          </a:graphic>
        </wp:anchor>
      </w:drawing>
    </w:r>
    <w:r>
      <w:rPr>
        <w:noProof/>
      </w:rPr>
      <w:drawing>
        <wp:anchor distT="0" distB="0" distL="0" distR="0" simplePos="0" relativeHeight="251660288" behindDoc="0" locked="0" layoutInCell="1" hidden="0" allowOverlap="1" wp14:anchorId="1300281A" wp14:editId="080F160F">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2"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56E8"/>
    <w:multiLevelType w:val="hybridMultilevel"/>
    <w:tmpl w:val="ACE6A61C"/>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1175CDD"/>
    <w:multiLevelType w:val="multilevel"/>
    <w:tmpl w:val="C3201410"/>
    <w:lvl w:ilvl="0">
      <w:start w:val="1"/>
      <w:numFmt w:val="decimal"/>
      <w:pStyle w:val="Titre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48745FE"/>
    <w:multiLevelType w:val="hybridMultilevel"/>
    <w:tmpl w:val="C54EE31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5A39FE"/>
    <w:multiLevelType w:val="hybridMultilevel"/>
    <w:tmpl w:val="21D2F3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8D2270"/>
    <w:multiLevelType w:val="multilevel"/>
    <w:tmpl w:val="D8FCE3B8"/>
    <w:lvl w:ilvl="0">
      <w:start w:val="1"/>
      <w:numFmt w:val="bullet"/>
      <w:pStyle w:val="EnvParti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3A225E89"/>
    <w:multiLevelType w:val="multilevel"/>
    <w:tmpl w:val="DBA6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407227AF"/>
    <w:multiLevelType w:val="hybridMultilevel"/>
    <w:tmpl w:val="516606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37E7C91"/>
    <w:multiLevelType w:val="hybridMultilevel"/>
    <w:tmpl w:val="B19C4E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4D30BCF"/>
    <w:multiLevelType w:val="hybridMultilevel"/>
    <w:tmpl w:val="C8480932"/>
    <w:lvl w:ilvl="0" w:tplc="0BEA6636">
      <w:start w:val="1"/>
      <w:numFmt w:val="bullet"/>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505C30ED"/>
    <w:multiLevelType w:val="hybridMultilevel"/>
    <w:tmpl w:val="856E3976"/>
    <w:lvl w:ilvl="0" w:tplc="BE92618A">
      <w:start w:val="1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2FB2A44"/>
    <w:multiLevelType w:val="hybridMultilevel"/>
    <w:tmpl w:val="3E6AE56E"/>
    <w:lvl w:ilvl="0" w:tplc="8C3C85BE">
      <w:start w:val="6"/>
      <w:numFmt w:val="bullet"/>
      <w:lvlText w:val=""/>
      <w:lvlJc w:val="left"/>
      <w:pPr>
        <w:ind w:left="720" w:hanging="360"/>
      </w:pPr>
      <w:rPr>
        <w:rFonts w:ascii="Wingdings" w:eastAsia="Calibr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57A6392"/>
    <w:multiLevelType w:val="hybridMultilevel"/>
    <w:tmpl w:val="31F2871C"/>
    <w:lvl w:ilvl="0" w:tplc="396A19E2">
      <w:start w:val="1"/>
      <w:numFmt w:val="bullet"/>
      <w:lvlText w:val=""/>
      <w:lvlJc w:val="left"/>
      <w:pPr>
        <w:ind w:left="720" w:hanging="360"/>
      </w:pPr>
      <w:rPr>
        <w:rFonts w:ascii="Wingdings" w:hAnsi="Wingdings" w:hint="default"/>
        <w:color w:val="8064A2" w:themeColor="accent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EF6BC0"/>
    <w:multiLevelType w:val="hybridMultilevel"/>
    <w:tmpl w:val="AC2830A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5B994D78"/>
    <w:multiLevelType w:val="hybridMultilevel"/>
    <w:tmpl w:val="651E9F80"/>
    <w:lvl w:ilvl="0" w:tplc="CC880452">
      <w:start w:val="5"/>
      <w:numFmt w:val="bullet"/>
      <w:lvlText w:val="-"/>
      <w:lvlJc w:val="left"/>
      <w:pPr>
        <w:ind w:left="720" w:hanging="360"/>
      </w:pPr>
      <w:rPr>
        <w:rFonts w:ascii="Calibri" w:eastAsia="Calibr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C66017A"/>
    <w:multiLevelType w:val="hybridMultilevel"/>
    <w:tmpl w:val="CDE445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13168BB"/>
    <w:multiLevelType w:val="hybridMultilevel"/>
    <w:tmpl w:val="5B043008"/>
    <w:lvl w:ilvl="0" w:tplc="396A19E2">
      <w:start w:val="1"/>
      <w:numFmt w:val="bullet"/>
      <w:lvlText w:val=""/>
      <w:lvlJc w:val="left"/>
      <w:pPr>
        <w:ind w:left="720" w:hanging="360"/>
      </w:pPr>
      <w:rPr>
        <w:rFonts w:ascii="Wingdings" w:hAnsi="Wingdings" w:hint="default"/>
        <w:color w:val="8064A2" w:themeColor="accent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27914E7"/>
    <w:multiLevelType w:val="multilevel"/>
    <w:tmpl w:val="0BE8FE32"/>
    <w:lvl w:ilvl="0">
      <w:start w:val="1"/>
      <w:numFmt w:val="bullet"/>
      <w:pStyle w:val="EnvTitreparagraph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66FA63E2"/>
    <w:multiLevelType w:val="hybridMultilevel"/>
    <w:tmpl w:val="32AEA7B0"/>
    <w:lvl w:ilvl="0" w:tplc="CC880452">
      <w:start w:val="5"/>
      <w:numFmt w:val="bullet"/>
      <w:lvlText w:val="-"/>
      <w:lvlJc w:val="left"/>
      <w:pPr>
        <w:ind w:left="720" w:hanging="360"/>
      </w:pPr>
      <w:rPr>
        <w:rFonts w:ascii="Calibri" w:eastAsia="Calibri" w:hAnsi="Calibri" w:cs="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D61360F"/>
    <w:multiLevelType w:val="hybridMultilevel"/>
    <w:tmpl w:val="5790BFAE"/>
    <w:lvl w:ilvl="0" w:tplc="BE92618A">
      <w:start w:val="1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6"/>
  </w:num>
  <w:num w:numId="3">
    <w:abstractNumId w:val="5"/>
  </w:num>
  <w:num w:numId="4">
    <w:abstractNumId w:val="1"/>
  </w:num>
  <w:num w:numId="5">
    <w:abstractNumId w:val="8"/>
  </w:num>
  <w:num w:numId="6">
    <w:abstractNumId w:val="11"/>
  </w:num>
  <w:num w:numId="7">
    <w:abstractNumId w:val="13"/>
  </w:num>
  <w:num w:numId="8">
    <w:abstractNumId w:val="17"/>
  </w:num>
  <w:num w:numId="9">
    <w:abstractNumId w:val="18"/>
  </w:num>
  <w:num w:numId="10">
    <w:abstractNumId w:val="10"/>
  </w:num>
  <w:num w:numId="11">
    <w:abstractNumId w:val="12"/>
  </w:num>
  <w:num w:numId="12">
    <w:abstractNumId w:val="0"/>
  </w:num>
  <w:num w:numId="13">
    <w:abstractNumId w:val="15"/>
  </w:num>
  <w:num w:numId="14">
    <w:abstractNumId w:val="6"/>
  </w:num>
  <w:num w:numId="15">
    <w:abstractNumId w:val="2"/>
  </w:num>
  <w:num w:numId="16">
    <w:abstractNumId w:val="3"/>
  </w:num>
  <w:num w:numId="17">
    <w:abstractNumId w:val="9"/>
  </w:num>
  <w:num w:numId="18">
    <w:abstractNumId w:val="7"/>
  </w:num>
  <w:num w:numId="19">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1C"/>
    <w:rsid w:val="00005466"/>
    <w:rsid w:val="00010052"/>
    <w:rsid w:val="00011315"/>
    <w:rsid w:val="00013795"/>
    <w:rsid w:val="000139FC"/>
    <w:rsid w:val="000146A8"/>
    <w:rsid w:val="00016850"/>
    <w:rsid w:val="000219C4"/>
    <w:rsid w:val="000248C0"/>
    <w:rsid w:val="000343EB"/>
    <w:rsid w:val="00037BCA"/>
    <w:rsid w:val="00037D79"/>
    <w:rsid w:val="000462AB"/>
    <w:rsid w:val="00047829"/>
    <w:rsid w:val="00053AB5"/>
    <w:rsid w:val="000550DA"/>
    <w:rsid w:val="00071F7F"/>
    <w:rsid w:val="000752F9"/>
    <w:rsid w:val="00081059"/>
    <w:rsid w:val="00085DFA"/>
    <w:rsid w:val="00091E1E"/>
    <w:rsid w:val="00096542"/>
    <w:rsid w:val="000A4C3C"/>
    <w:rsid w:val="000C27E0"/>
    <w:rsid w:val="000D353A"/>
    <w:rsid w:val="000D3734"/>
    <w:rsid w:val="000D54A4"/>
    <w:rsid w:val="000F0837"/>
    <w:rsid w:val="000F0E5A"/>
    <w:rsid w:val="000F30EF"/>
    <w:rsid w:val="000F36F4"/>
    <w:rsid w:val="000F3E43"/>
    <w:rsid w:val="000F472A"/>
    <w:rsid w:val="000F72D4"/>
    <w:rsid w:val="00100D2C"/>
    <w:rsid w:val="00104728"/>
    <w:rsid w:val="0010756D"/>
    <w:rsid w:val="00115F38"/>
    <w:rsid w:val="00123887"/>
    <w:rsid w:val="001307F4"/>
    <w:rsid w:val="001413B6"/>
    <w:rsid w:val="00141A49"/>
    <w:rsid w:val="00143F20"/>
    <w:rsid w:val="001638AB"/>
    <w:rsid w:val="0017175C"/>
    <w:rsid w:val="00174DBD"/>
    <w:rsid w:val="00176292"/>
    <w:rsid w:val="00195956"/>
    <w:rsid w:val="001A5AA6"/>
    <w:rsid w:val="001B0059"/>
    <w:rsid w:val="001B0D68"/>
    <w:rsid w:val="001C3B17"/>
    <w:rsid w:val="001D365D"/>
    <w:rsid w:val="001D6C60"/>
    <w:rsid w:val="001E124C"/>
    <w:rsid w:val="001E5A62"/>
    <w:rsid w:val="001E71F1"/>
    <w:rsid w:val="001F0C28"/>
    <w:rsid w:val="001F1809"/>
    <w:rsid w:val="0020068F"/>
    <w:rsid w:val="002022B1"/>
    <w:rsid w:val="00207C37"/>
    <w:rsid w:val="00211C1C"/>
    <w:rsid w:val="002121BC"/>
    <w:rsid w:val="002173BD"/>
    <w:rsid w:val="002244DB"/>
    <w:rsid w:val="00233867"/>
    <w:rsid w:val="0024636D"/>
    <w:rsid w:val="00251E6D"/>
    <w:rsid w:val="002522E6"/>
    <w:rsid w:val="00252C72"/>
    <w:rsid w:val="002643DF"/>
    <w:rsid w:val="002658F9"/>
    <w:rsid w:val="0026625B"/>
    <w:rsid w:val="0026654F"/>
    <w:rsid w:val="00266EA7"/>
    <w:rsid w:val="00293BE4"/>
    <w:rsid w:val="00297416"/>
    <w:rsid w:val="002B7BB0"/>
    <w:rsid w:val="002C241C"/>
    <w:rsid w:val="002D00C7"/>
    <w:rsid w:val="002D0572"/>
    <w:rsid w:val="002D10E8"/>
    <w:rsid w:val="002D713C"/>
    <w:rsid w:val="002D736A"/>
    <w:rsid w:val="002E1BA5"/>
    <w:rsid w:val="002E4554"/>
    <w:rsid w:val="002F1E2B"/>
    <w:rsid w:val="002F4014"/>
    <w:rsid w:val="002F5889"/>
    <w:rsid w:val="00301111"/>
    <w:rsid w:val="00302C26"/>
    <w:rsid w:val="003032ED"/>
    <w:rsid w:val="00310A6D"/>
    <w:rsid w:val="003112CA"/>
    <w:rsid w:val="003169A1"/>
    <w:rsid w:val="00316E7E"/>
    <w:rsid w:val="003254E0"/>
    <w:rsid w:val="00330D04"/>
    <w:rsid w:val="0033437A"/>
    <w:rsid w:val="003366F3"/>
    <w:rsid w:val="00346EA6"/>
    <w:rsid w:val="003477CE"/>
    <w:rsid w:val="0036229B"/>
    <w:rsid w:val="00372C1F"/>
    <w:rsid w:val="003735E4"/>
    <w:rsid w:val="0037750E"/>
    <w:rsid w:val="00395F68"/>
    <w:rsid w:val="003A2C38"/>
    <w:rsid w:val="003A77B1"/>
    <w:rsid w:val="003D27BE"/>
    <w:rsid w:val="003D5CA5"/>
    <w:rsid w:val="003D6FFD"/>
    <w:rsid w:val="003D7457"/>
    <w:rsid w:val="00401A44"/>
    <w:rsid w:val="004060F3"/>
    <w:rsid w:val="0040751C"/>
    <w:rsid w:val="0041205E"/>
    <w:rsid w:val="0041383F"/>
    <w:rsid w:val="00413D68"/>
    <w:rsid w:val="004245B4"/>
    <w:rsid w:val="00424D22"/>
    <w:rsid w:val="0042768C"/>
    <w:rsid w:val="00442DFB"/>
    <w:rsid w:val="00444373"/>
    <w:rsid w:val="00445B1D"/>
    <w:rsid w:val="004472C8"/>
    <w:rsid w:val="00452274"/>
    <w:rsid w:val="0045365C"/>
    <w:rsid w:val="00463C4E"/>
    <w:rsid w:val="00467F28"/>
    <w:rsid w:val="00482C11"/>
    <w:rsid w:val="0049073E"/>
    <w:rsid w:val="004A4A6C"/>
    <w:rsid w:val="004C21F8"/>
    <w:rsid w:val="004E0DBA"/>
    <w:rsid w:val="004E2FEF"/>
    <w:rsid w:val="004E634A"/>
    <w:rsid w:val="004F0622"/>
    <w:rsid w:val="004F0C7F"/>
    <w:rsid w:val="004F46ED"/>
    <w:rsid w:val="00503AD5"/>
    <w:rsid w:val="00511B22"/>
    <w:rsid w:val="005172A0"/>
    <w:rsid w:val="0051765A"/>
    <w:rsid w:val="00540B0F"/>
    <w:rsid w:val="005433ED"/>
    <w:rsid w:val="00550D53"/>
    <w:rsid w:val="0055332E"/>
    <w:rsid w:val="00556249"/>
    <w:rsid w:val="00566056"/>
    <w:rsid w:val="00572CA7"/>
    <w:rsid w:val="005763A9"/>
    <w:rsid w:val="00580D1C"/>
    <w:rsid w:val="00583492"/>
    <w:rsid w:val="0058550F"/>
    <w:rsid w:val="005923B2"/>
    <w:rsid w:val="00595678"/>
    <w:rsid w:val="005A31C3"/>
    <w:rsid w:val="005A38AF"/>
    <w:rsid w:val="005B1255"/>
    <w:rsid w:val="005B33D0"/>
    <w:rsid w:val="005B3BAF"/>
    <w:rsid w:val="005B6543"/>
    <w:rsid w:val="005C431F"/>
    <w:rsid w:val="005C5F75"/>
    <w:rsid w:val="005D47D6"/>
    <w:rsid w:val="005D76AF"/>
    <w:rsid w:val="005E60D4"/>
    <w:rsid w:val="005F3669"/>
    <w:rsid w:val="005F6AA9"/>
    <w:rsid w:val="00602329"/>
    <w:rsid w:val="00605DA6"/>
    <w:rsid w:val="006153F1"/>
    <w:rsid w:val="00620ADE"/>
    <w:rsid w:val="00620CF4"/>
    <w:rsid w:val="006226D6"/>
    <w:rsid w:val="00627732"/>
    <w:rsid w:val="00647EE6"/>
    <w:rsid w:val="00650ACD"/>
    <w:rsid w:val="00653F88"/>
    <w:rsid w:val="00654244"/>
    <w:rsid w:val="00654BD2"/>
    <w:rsid w:val="00662CD8"/>
    <w:rsid w:val="00672EBD"/>
    <w:rsid w:val="00674C44"/>
    <w:rsid w:val="0067672C"/>
    <w:rsid w:val="00682ABF"/>
    <w:rsid w:val="006929D3"/>
    <w:rsid w:val="00693C61"/>
    <w:rsid w:val="0069485E"/>
    <w:rsid w:val="00694874"/>
    <w:rsid w:val="006A014C"/>
    <w:rsid w:val="006A4BA6"/>
    <w:rsid w:val="006B0084"/>
    <w:rsid w:val="006B583D"/>
    <w:rsid w:val="006D79C9"/>
    <w:rsid w:val="006D7F2A"/>
    <w:rsid w:val="006F7E8F"/>
    <w:rsid w:val="00700C2E"/>
    <w:rsid w:val="007051C1"/>
    <w:rsid w:val="00706999"/>
    <w:rsid w:val="007110C5"/>
    <w:rsid w:val="0071744F"/>
    <w:rsid w:val="00723B5C"/>
    <w:rsid w:val="00732585"/>
    <w:rsid w:val="00734C73"/>
    <w:rsid w:val="007350F1"/>
    <w:rsid w:val="00746390"/>
    <w:rsid w:val="00750CA9"/>
    <w:rsid w:val="00754060"/>
    <w:rsid w:val="00754CB4"/>
    <w:rsid w:val="00756436"/>
    <w:rsid w:val="0075699C"/>
    <w:rsid w:val="00757448"/>
    <w:rsid w:val="00761F7A"/>
    <w:rsid w:val="00772246"/>
    <w:rsid w:val="007737C8"/>
    <w:rsid w:val="00777D46"/>
    <w:rsid w:val="00777ED0"/>
    <w:rsid w:val="00790BB9"/>
    <w:rsid w:val="007A5979"/>
    <w:rsid w:val="007A683C"/>
    <w:rsid w:val="007B2514"/>
    <w:rsid w:val="007B2B31"/>
    <w:rsid w:val="007B6A35"/>
    <w:rsid w:val="007C64FC"/>
    <w:rsid w:val="007D029B"/>
    <w:rsid w:val="007D3A5D"/>
    <w:rsid w:val="007D7D15"/>
    <w:rsid w:val="007D7F68"/>
    <w:rsid w:val="007F6373"/>
    <w:rsid w:val="00804150"/>
    <w:rsid w:val="00804BF3"/>
    <w:rsid w:val="00805ABA"/>
    <w:rsid w:val="00812F86"/>
    <w:rsid w:val="00822D83"/>
    <w:rsid w:val="00832820"/>
    <w:rsid w:val="00832A3E"/>
    <w:rsid w:val="008332C0"/>
    <w:rsid w:val="00836639"/>
    <w:rsid w:val="00844FB9"/>
    <w:rsid w:val="00850600"/>
    <w:rsid w:val="00857100"/>
    <w:rsid w:val="0086606F"/>
    <w:rsid w:val="00870BD9"/>
    <w:rsid w:val="0087250B"/>
    <w:rsid w:val="0087741C"/>
    <w:rsid w:val="008926DD"/>
    <w:rsid w:val="008951C3"/>
    <w:rsid w:val="00897F7F"/>
    <w:rsid w:val="008A0B78"/>
    <w:rsid w:val="008B0B82"/>
    <w:rsid w:val="008B33B7"/>
    <w:rsid w:val="008C1324"/>
    <w:rsid w:val="008D3448"/>
    <w:rsid w:val="008D4BE7"/>
    <w:rsid w:val="008E0CBB"/>
    <w:rsid w:val="008E1EBA"/>
    <w:rsid w:val="008E3E40"/>
    <w:rsid w:val="008F13A7"/>
    <w:rsid w:val="008F6BFD"/>
    <w:rsid w:val="008F7158"/>
    <w:rsid w:val="009042B5"/>
    <w:rsid w:val="009062CC"/>
    <w:rsid w:val="00910B1F"/>
    <w:rsid w:val="00915DA6"/>
    <w:rsid w:val="009252F7"/>
    <w:rsid w:val="00925C53"/>
    <w:rsid w:val="00925E51"/>
    <w:rsid w:val="009270B2"/>
    <w:rsid w:val="00932D39"/>
    <w:rsid w:val="009407B7"/>
    <w:rsid w:val="00941847"/>
    <w:rsid w:val="00951471"/>
    <w:rsid w:val="00960F18"/>
    <w:rsid w:val="00961734"/>
    <w:rsid w:val="00961C81"/>
    <w:rsid w:val="00967901"/>
    <w:rsid w:val="009926BF"/>
    <w:rsid w:val="009B2FDE"/>
    <w:rsid w:val="009B732B"/>
    <w:rsid w:val="009C46B8"/>
    <w:rsid w:val="009C5913"/>
    <w:rsid w:val="009F4D3D"/>
    <w:rsid w:val="009F646F"/>
    <w:rsid w:val="009F798D"/>
    <w:rsid w:val="00A256B1"/>
    <w:rsid w:val="00A356C5"/>
    <w:rsid w:val="00A441A4"/>
    <w:rsid w:val="00A46600"/>
    <w:rsid w:val="00A53477"/>
    <w:rsid w:val="00A55857"/>
    <w:rsid w:val="00A62B6A"/>
    <w:rsid w:val="00A64727"/>
    <w:rsid w:val="00A65D50"/>
    <w:rsid w:val="00A71A65"/>
    <w:rsid w:val="00A73B9F"/>
    <w:rsid w:val="00A7416D"/>
    <w:rsid w:val="00A80497"/>
    <w:rsid w:val="00A82A69"/>
    <w:rsid w:val="00A97B43"/>
    <w:rsid w:val="00AB31F8"/>
    <w:rsid w:val="00AC578E"/>
    <w:rsid w:val="00B06EA6"/>
    <w:rsid w:val="00B1055F"/>
    <w:rsid w:val="00B1252F"/>
    <w:rsid w:val="00B15F2A"/>
    <w:rsid w:val="00B2275C"/>
    <w:rsid w:val="00B23F50"/>
    <w:rsid w:val="00B34036"/>
    <w:rsid w:val="00B42738"/>
    <w:rsid w:val="00B44F96"/>
    <w:rsid w:val="00B45050"/>
    <w:rsid w:val="00B57658"/>
    <w:rsid w:val="00B62A41"/>
    <w:rsid w:val="00B74FEA"/>
    <w:rsid w:val="00B80913"/>
    <w:rsid w:val="00B86FFB"/>
    <w:rsid w:val="00B90DCF"/>
    <w:rsid w:val="00B93087"/>
    <w:rsid w:val="00BA1C88"/>
    <w:rsid w:val="00BA2698"/>
    <w:rsid w:val="00BA34F4"/>
    <w:rsid w:val="00BB11C6"/>
    <w:rsid w:val="00BC239C"/>
    <w:rsid w:val="00BD3F7C"/>
    <w:rsid w:val="00BE46CF"/>
    <w:rsid w:val="00C025B3"/>
    <w:rsid w:val="00C13E80"/>
    <w:rsid w:val="00C15F55"/>
    <w:rsid w:val="00C33C00"/>
    <w:rsid w:val="00C34222"/>
    <w:rsid w:val="00C34656"/>
    <w:rsid w:val="00C47BF3"/>
    <w:rsid w:val="00C50586"/>
    <w:rsid w:val="00C57C5D"/>
    <w:rsid w:val="00C648C8"/>
    <w:rsid w:val="00C70BAB"/>
    <w:rsid w:val="00C82247"/>
    <w:rsid w:val="00C8309E"/>
    <w:rsid w:val="00C835D9"/>
    <w:rsid w:val="00C86DCA"/>
    <w:rsid w:val="00C97B38"/>
    <w:rsid w:val="00CB0FB2"/>
    <w:rsid w:val="00CB2117"/>
    <w:rsid w:val="00CB413C"/>
    <w:rsid w:val="00CB4FA0"/>
    <w:rsid w:val="00CB6787"/>
    <w:rsid w:val="00CC4E55"/>
    <w:rsid w:val="00CC781C"/>
    <w:rsid w:val="00CD05F6"/>
    <w:rsid w:val="00CE1055"/>
    <w:rsid w:val="00CE2E5D"/>
    <w:rsid w:val="00D00138"/>
    <w:rsid w:val="00D01762"/>
    <w:rsid w:val="00D027C7"/>
    <w:rsid w:val="00D11798"/>
    <w:rsid w:val="00D12BD0"/>
    <w:rsid w:val="00D151CC"/>
    <w:rsid w:val="00D27393"/>
    <w:rsid w:val="00D329BD"/>
    <w:rsid w:val="00D34040"/>
    <w:rsid w:val="00D458D9"/>
    <w:rsid w:val="00D55E80"/>
    <w:rsid w:val="00D646BE"/>
    <w:rsid w:val="00D823D8"/>
    <w:rsid w:val="00D9374C"/>
    <w:rsid w:val="00D94CA1"/>
    <w:rsid w:val="00D958C0"/>
    <w:rsid w:val="00DA6DFC"/>
    <w:rsid w:val="00DA7566"/>
    <w:rsid w:val="00DB1619"/>
    <w:rsid w:val="00DC7225"/>
    <w:rsid w:val="00DD17EE"/>
    <w:rsid w:val="00DD3573"/>
    <w:rsid w:val="00DD7154"/>
    <w:rsid w:val="00DE5AB5"/>
    <w:rsid w:val="00DF5274"/>
    <w:rsid w:val="00DF6625"/>
    <w:rsid w:val="00E01ECE"/>
    <w:rsid w:val="00E05128"/>
    <w:rsid w:val="00E05569"/>
    <w:rsid w:val="00E13B2F"/>
    <w:rsid w:val="00E15DF1"/>
    <w:rsid w:val="00E171E7"/>
    <w:rsid w:val="00E21BA8"/>
    <w:rsid w:val="00E23582"/>
    <w:rsid w:val="00E461E8"/>
    <w:rsid w:val="00E57782"/>
    <w:rsid w:val="00E6240B"/>
    <w:rsid w:val="00E63198"/>
    <w:rsid w:val="00E67B32"/>
    <w:rsid w:val="00E7402D"/>
    <w:rsid w:val="00E75A1B"/>
    <w:rsid w:val="00EA6E3D"/>
    <w:rsid w:val="00EB0702"/>
    <w:rsid w:val="00EC0285"/>
    <w:rsid w:val="00EC651F"/>
    <w:rsid w:val="00ED5D8E"/>
    <w:rsid w:val="00ED68B4"/>
    <w:rsid w:val="00EE1D01"/>
    <w:rsid w:val="00EF250B"/>
    <w:rsid w:val="00F05C0F"/>
    <w:rsid w:val="00F11833"/>
    <w:rsid w:val="00F30E04"/>
    <w:rsid w:val="00F46C57"/>
    <w:rsid w:val="00F512F2"/>
    <w:rsid w:val="00F522B6"/>
    <w:rsid w:val="00F52A5A"/>
    <w:rsid w:val="00F546D4"/>
    <w:rsid w:val="00F54831"/>
    <w:rsid w:val="00F56D05"/>
    <w:rsid w:val="00F63733"/>
    <w:rsid w:val="00F70A92"/>
    <w:rsid w:val="00F7444B"/>
    <w:rsid w:val="00F838CD"/>
    <w:rsid w:val="00F84101"/>
    <w:rsid w:val="00F857DD"/>
    <w:rsid w:val="00F95ACB"/>
    <w:rsid w:val="00F95C6D"/>
    <w:rsid w:val="00FB29D5"/>
    <w:rsid w:val="00FB6384"/>
    <w:rsid w:val="00FC05F3"/>
    <w:rsid w:val="00FC1087"/>
    <w:rsid w:val="00FC4A3A"/>
    <w:rsid w:val="00FD086C"/>
    <w:rsid w:val="00FE4914"/>
    <w:rsid w:val="00FE4B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0B120"/>
  <w15:docId w15:val="{70E9B8AF-3AE0-4B14-8B6F-8927229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semiHidden/>
    <w:unhideWhenUsed/>
    <w:qFormat/>
    <w:rsid w:val="0089455F"/>
    <w:pPr>
      <w:keepNext/>
      <w:keepLines/>
      <w:numPr>
        <w:numId w:val="4"/>
      </w:numPr>
      <w:spacing w:before="40"/>
      <w:ind w:left="1068"/>
      <w:outlineLvl w:val="1"/>
    </w:pPr>
    <w:rPr>
      <w:rFonts w:eastAsiaTheme="majorEastAsia" w:cstheme="majorBidi"/>
      <w:b/>
      <w:i/>
      <w:color w:val="5F497A" w:themeColor="accent4" w:themeShade="BF"/>
      <w:sz w:val="24"/>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eastAsia="Times New Roman" w:cs="Arial"/>
      <w:color w:val="403152"/>
      <w:sz w:val="96"/>
      <w:szCs w:val="96"/>
      <w:shd w:val="clear" w:color="auto" w:fill="E5DFEC"/>
    </w:rPr>
  </w:style>
  <w:style w:type="character" w:customStyle="1" w:styleId="EnvPartieCar">
    <w:name w:val="Env_Partie Car"/>
    <w:basedOn w:val="Policepardfaut"/>
    <w:link w:val="EnvPartie"/>
    <w:rsid w:val="0046533A"/>
    <w:rPr>
      <w:rFonts w:eastAsia="Times New Roman"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eastAsia="Times New Roman" w:cs="Times New Roman"/>
      <w:b/>
      <w:color w:val="403152"/>
    </w:rPr>
  </w:style>
  <w:style w:type="character" w:customStyle="1" w:styleId="EnvTitreparagrapheCar">
    <w:name w:val="Env_Titre paragraphe Car"/>
    <w:basedOn w:val="Policepardfaut"/>
    <w:link w:val="EnvTitreparagraphe"/>
    <w:rsid w:val="0046533A"/>
    <w:rPr>
      <w:rFonts w:eastAsia="Times New Roman"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semiHidden/>
    <w:rsid w:val="0089455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styleId="Mentionnonrsolue">
    <w:name w:val="Unresolved Mention"/>
    <w:basedOn w:val="Policepardfaut"/>
    <w:uiPriority w:val="99"/>
    <w:semiHidden/>
    <w:unhideWhenUsed/>
    <w:rsid w:val="009F646F"/>
    <w:rPr>
      <w:color w:val="605E5C"/>
      <w:shd w:val="clear" w:color="auto" w:fill="E1DFDD"/>
    </w:rPr>
  </w:style>
  <w:style w:type="paragraph" w:styleId="NormalWeb">
    <w:name w:val="Normal (Web)"/>
    <w:basedOn w:val="Normal"/>
    <w:uiPriority w:val="99"/>
    <w:unhideWhenUsed/>
    <w:rsid w:val="007D7F68"/>
    <w:pPr>
      <w:spacing w:before="100" w:beforeAutospacing="1" w:after="100" w:afterAutospacing="1"/>
    </w:pPr>
    <w:rPr>
      <w:rFonts w:ascii="Times New Roman" w:eastAsia="Times New Roman" w:hAnsi="Times New Roman" w:cs="Times New Roman"/>
      <w:sz w:val="24"/>
      <w:szCs w:val="24"/>
    </w:rPr>
  </w:style>
  <w:style w:type="character" w:styleId="lev">
    <w:name w:val="Strong"/>
    <w:basedOn w:val="Policepardfaut"/>
    <w:uiPriority w:val="22"/>
    <w:qFormat/>
    <w:rsid w:val="007D7F68"/>
    <w:rPr>
      <w:b/>
      <w:bCs/>
    </w:rPr>
  </w:style>
  <w:style w:type="paragraph" w:customStyle="1" w:styleId="Default">
    <w:name w:val="Default"/>
    <w:rsid w:val="00047829"/>
    <w:pPr>
      <w:autoSpaceDE w:val="0"/>
      <w:autoSpaceDN w:val="0"/>
      <w:adjustRightInd w:val="0"/>
    </w:pPr>
    <w:rPr>
      <w:color w:val="000000"/>
      <w:sz w:val="24"/>
      <w:szCs w:val="24"/>
    </w:rPr>
  </w:style>
  <w:style w:type="paragraph" w:styleId="PrformatHTML">
    <w:name w:val="HTML Preformatted"/>
    <w:basedOn w:val="Normal"/>
    <w:link w:val="PrformatHTMLCar"/>
    <w:uiPriority w:val="99"/>
    <w:semiHidden/>
    <w:unhideWhenUsed/>
    <w:rsid w:val="005D76AF"/>
    <w:rPr>
      <w:rFonts w:ascii="Consolas" w:hAnsi="Consolas"/>
      <w:sz w:val="20"/>
      <w:szCs w:val="20"/>
    </w:rPr>
  </w:style>
  <w:style w:type="character" w:customStyle="1" w:styleId="PrformatHTMLCar">
    <w:name w:val="Préformaté HTML Car"/>
    <w:basedOn w:val="Policepardfaut"/>
    <w:link w:val="PrformatHTML"/>
    <w:uiPriority w:val="99"/>
    <w:semiHidden/>
    <w:rsid w:val="005D76AF"/>
    <w:rPr>
      <w:rFonts w:ascii="Consolas" w:hAnsi="Consolas"/>
      <w:sz w:val="20"/>
      <w:szCs w:val="20"/>
    </w:rPr>
  </w:style>
  <w:style w:type="table" w:styleId="TableauGrille2-Accentuation1">
    <w:name w:val="Grid Table 2 Accent 1"/>
    <w:basedOn w:val="TableauNormal"/>
    <w:uiPriority w:val="47"/>
    <w:rsid w:val="00580D1C"/>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auGrille2-Accentuation3">
    <w:name w:val="Grid Table 2 Accent 3"/>
    <w:basedOn w:val="TableauNormal"/>
    <w:uiPriority w:val="47"/>
    <w:rsid w:val="00580D1C"/>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05441">
      <w:bodyDiv w:val="1"/>
      <w:marLeft w:val="0"/>
      <w:marRight w:val="0"/>
      <w:marTop w:val="0"/>
      <w:marBottom w:val="0"/>
      <w:divBdr>
        <w:top w:val="none" w:sz="0" w:space="0" w:color="auto"/>
        <w:left w:val="none" w:sz="0" w:space="0" w:color="auto"/>
        <w:bottom w:val="none" w:sz="0" w:space="0" w:color="auto"/>
        <w:right w:val="none" w:sz="0" w:space="0" w:color="auto"/>
      </w:divBdr>
    </w:div>
    <w:div w:id="205875531">
      <w:bodyDiv w:val="1"/>
      <w:marLeft w:val="0"/>
      <w:marRight w:val="0"/>
      <w:marTop w:val="0"/>
      <w:marBottom w:val="0"/>
      <w:divBdr>
        <w:top w:val="none" w:sz="0" w:space="0" w:color="auto"/>
        <w:left w:val="none" w:sz="0" w:space="0" w:color="auto"/>
        <w:bottom w:val="none" w:sz="0" w:space="0" w:color="auto"/>
        <w:right w:val="none" w:sz="0" w:space="0" w:color="auto"/>
      </w:divBdr>
      <w:divsChild>
        <w:div w:id="1244144723">
          <w:marLeft w:val="0"/>
          <w:marRight w:val="0"/>
          <w:marTop w:val="0"/>
          <w:marBottom w:val="0"/>
          <w:divBdr>
            <w:top w:val="none" w:sz="0" w:space="0" w:color="auto"/>
            <w:left w:val="none" w:sz="0" w:space="0" w:color="auto"/>
            <w:bottom w:val="none" w:sz="0" w:space="0" w:color="auto"/>
            <w:right w:val="none" w:sz="0" w:space="0" w:color="auto"/>
          </w:divBdr>
        </w:div>
      </w:divsChild>
    </w:div>
    <w:div w:id="723869755">
      <w:bodyDiv w:val="1"/>
      <w:marLeft w:val="0"/>
      <w:marRight w:val="0"/>
      <w:marTop w:val="0"/>
      <w:marBottom w:val="0"/>
      <w:divBdr>
        <w:top w:val="none" w:sz="0" w:space="0" w:color="auto"/>
        <w:left w:val="none" w:sz="0" w:space="0" w:color="auto"/>
        <w:bottom w:val="none" w:sz="0" w:space="0" w:color="auto"/>
        <w:right w:val="none" w:sz="0" w:space="0" w:color="auto"/>
      </w:divBdr>
    </w:div>
    <w:div w:id="1145858504">
      <w:bodyDiv w:val="1"/>
      <w:marLeft w:val="0"/>
      <w:marRight w:val="0"/>
      <w:marTop w:val="0"/>
      <w:marBottom w:val="0"/>
      <w:divBdr>
        <w:top w:val="none" w:sz="0" w:space="0" w:color="auto"/>
        <w:left w:val="none" w:sz="0" w:space="0" w:color="auto"/>
        <w:bottom w:val="none" w:sz="0" w:space="0" w:color="auto"/>
        <w:right w:val="none" w:sz="0" w:space="0" w:color="auto"/>
      </w:divBdr>
    </w:div>
    <w:div w:id="1230771595">
      <w:bodyDiv w:val="1"/>
      <w:marLeft w:val="0"/>
      <w:marRight w:val="0"/>
      <w:marTop w:val="0"/>
      <w:marBottom w:val="0"/>
      <w:divBdr>
        <w:top w:val="none" w:sz="0" w:space="0" w:color="auto"/>
        <w:left w:val="none" w:sz="0" w:space="0" w:color="auto"/>
        <w:bottom w:val="none" w:sz="0" w:space="0" w:color="auto"/>
        <w:right w:val="none" w:sz="0" w:space="0" w:color="auto"/>
      </w:divBdr>
    </w:div>
    <w:div w:id="1538929302">
      <w:bodyDiv w:val="1"/>
      <w:marLeft w:val="0"/>
      <w:marRight w:val="0"/>
      <w:marTop w:val="0"/>
      <w:marBottom w:val="0"/>
      <w:divBdr>
        <w:top w:val="none" w:sz="0" w:space="0" w:color="auto"/>
        <w:left w:val="none" w:sz="0" w:space="0" w:color="auto"/>
        <w:bottom w:val="none" w:sz="0" w:space="0" w:color="auto"/>
        <w:right w:val="none" w:sz="0" w:space="0" w:color="auto"/>
      </w:divBdr>
    </w:div>
    <w:div w:id="1949003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ec.europa.eu/info/funding-tenders/opportunities/docs/2021-2027/horizon/wp-call/2021/wp_horizon-eic-2021_en.pdf" TargetMode="External"/><Relationship Id="rId18" Type="http://schemas.openxmlformats.org/officeDocument/2006/relationships/hyperlink" Target="https://een.ec.europa.eu/" TargetMode="External"/><Relationship Id="rId26" Type="http://schemas.openxmlformats.org/officeDocument/2006/relationships/hyperlink" Target="https://eic.ec.europa.eu/index_en" TargetMode="External"/><Relationship Id="rId3" Type="http://schemas.openxmlformats.org/officeDocument/2006/relationships/numbering" Target="numbering.xml"/><Relationship Id="rId21" Type="http://schemas.openxmlformats.org/officeDocument/2006/relationships/hyperlink" Target="https://eic.ec.europa.eu/eic-funding-opportunities/european-innovation-ecosystems_en"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s://ec.europa.eu/info/research-and-innovation/funding/funding-opportunities/seal-excellence_en" TargetMode="External"/><Relationship Id="rId25" Type="http://schemas.openxmlformats.org/officeDocument/2006/relationships/hyperlink" Target="https://www.horizon-europe.gouv.fr/les-points-de-contact-nationaux-24230"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c.europa.eu/info/funding-tenders/opportunities/portal/screen/how-to-participate/reference-documents;programCode=HORIZON" TargetMode="External"/><Relationship Id="rId20" Type="http://schemas.openxmlformats.org/officeDocument/2006/relationships/hyperlink" Target="https://www.horizon-europe.gouv.fr/le-conseil-europeen-de-l-innovation-24119" TargetMode="External"/><Relationship Id="rId29" Type="http://schemas.openxmlformats.org/officeDocument/2006/relationships/hyperlink" Target="https://ec.europa.eu/info/funding-tenders/opportunities/portal/screen/hom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horizon-europe.gouv.fr/presentation-du-programme-horizon-europe-24104" TargetMode="External"/><Relationship Id="rId24" Type="http://schemas.openxmlformats.org/officeDocument/2006/relationships/hyperlink" Target="https://cordis.europa.eu/project/id/879608/fr"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eic.ec.europa.eu/index_en" TargetMode="External"/><Relationship Id="rId23" Type="http://schemas.openxmlformats.org/officeDocument/2006/relationships/hyperlink" Target="https://cordis.europa.eu/project/id/953636/fr" TargetMode="External"/><Relationship Id="rId28" Type="http://schemas.openxmlformats.org/officeDocument/2006/relationships/hyperlink" Target="https://ec.europa.eu/info/funding-tenders/opportunities/docs/2021-2027/common/agr-contr/general-mga_horizon-euratom_en.pdf" TargetMode="External"/><Relationship Id="rId10" Type="http://schemas.openxmlformats.org/officeDocument/2006/relationships/image" Target="media/image2.jpg"/><Relationship Id="rId19" Type="http://schemas.openxmlformats.org/officeDocument/2006/relationships/image" Target="media/image4.PNG"/><Relationship Id="rId31"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fif"/><Relationship Id="rId14" Type="http://schemas.openxmlformats.org/officeDocument/2006/relationships/hyperlink" Target="https://ec.europa.eu/info/funding-tenders/opportunities/docs/2021-2027/common/agr-contr/general-mga_horizon-euratom_en.pdf" TargetMode="External"/><Relationship Id="rId22" Type="http://schemas.openxmlformats.org/officeDocument/2006/relationships/hyperlink" Target="https://www.horizon-europe.gouv.fr/l-institut-europeen-d-innovation-et-de-technologie-24143" TargetMode="External"/><Relationship Id="rId27" Type="http://schemas.openxmlformats.org/officeDocument/2006/relationships/hyperlink" Target="https://ec.europa.eu/info/funding-tenders/opportunities/docs/2021-2027/horizon/wp-call/2021/wp_horizon-eic-2021_en.pdf" TargetMode="External"/><Relationship Id="rId30" Type="http://schemas.openxmlformats.org/officeDocument/2006/relationships/hyperlink" Target="https://www.bpifrance.fr/Toutes-nos-solutions/Accompagnement/Conseil/Diagnostic-Europe" TargetMode="External"/><Relationship Id="rId35" Type="http://schemas.openxmlformats.org/officeDocument/2006/relationships/theme" Target="theme/theme1.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ic.ec.europa.eu/system/files/2021-03/EIC%20Work%20Programme%202021.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7.jpg"/><Relationship Id="rId2" Type="http://schemas.openxmlformats.org/officeDocument/2006/relationships/image" Target="media/image6.jpg"/><Relationship Id="rId1" Type="http://schemas.openxmlformats.org/officeDocument/2006/relationships/image" Target="media/image5.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elgWrmT2WvSzx4OA7tCY49Iho4w==">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</go:docsCustomData>
</go:gDocsCustomXmlDataStorage>
</file>

<file path=customXml/itemProps1.xml><?xml version="1.0" encoding="utf-8"?>
<ds:datastoreItem xmlns:ds="http://schemas.openxmlformats.org/officeDocument/2006/customXml" ds:itemID="{67ED07E5-32E6-44DD-A20C-736D1D87774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12</Pages>
  <Words>4471</Words>
  <Characters>24594</Characters>
  <Application>Microsoft Office Word</Application>
  <DocSecurity>0</DocSecurity>
  <Lines>204</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Anne Devieilletoile</cp:lastModifiedBy>
  <cp:revision>6</cp:revision>
  <dcterms:created xsi:type="dcterms:W3CDTF">2021-06-20T12:13:00Z</dcterms:created>
  <dcterms:modified xsi:type="dcterms:W3CDTF">2021-06-29T15:17:00Z</dcterms:modified>
</cp:coreProperties>
</file>